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FF" w:rsidRDefault="00083BFF" w:rsidP="00083BFF">
      <w:pPr>
        <w:spacing w:before="120"/>
        <w:rPr>
          <w:b/>
          <w:bCs/>
          <w:sz w:val="28"/>
          <w:szCs w:val="28"/>
          <w:lang w:val="pt-PT"/>
        </w:rPr>
      </w:pPr>
      <w:bookmarkStart w:id="0" w:name="_GoBack"/>
      <w:bookmarkEnd w:id="0"/>
      <w:r>
        <w:rPr>
          <w:b/>
          <w:bCs/>
          <w:sz w:val="28"/>
          <w:szCs w:val="28"/>
          <w:lang w:val="pt-PT"/>
        </w:rPr>
        <w:t xml:space="preserve">Příloha </w:t>
      </w:r>
      <w:r w:rsidR="00F423D5">
        <w:rPr>
          <w:b/>
          <w:bCs/>
          <w:sz w:val="28"/>
          <w:szCs w:val="28"/>
          <w:lang w:val="pt-PT"/>
        </w:rPr>
        <w:t>2</w:t>
      </w:r>
      <w:r>
        <w:rPr>
          <w:b/>
          <w:bCs/>
          <w:sz w:val="28"/>
          <w:szCs w:val="28"/>
          <w:lang w:val="pt-PT"/>
        </w:rPr>
        <w:t xml:space="preserve">: jak postupovat v Ontariu – vyhledání, příprava a podání nabídky </w:t>
      </w:r>
    </w:p>
    <w:p w:rsidR="00083BFF" w:rsidRPr="009F2CAC" w:rsidRDefault="00083BFF" w:rsidP="00083BFF">
      <w:pPr>
        <w:spacing w:after="120"/>
        <w:jc w:val="both"/>
        <w:rPr>
          <w:rFonts w:ascii="Helv" w:hAnsi="Helv" w:cs="Helv"/>
          <w:color w:val="000000"/>
          <w:sz w:val="20"/>
          <w:szCs w:val="20"/>
          <w:u w:val="single"/>
          <w:lang w:eastAsia="cs-CZ"/>
        </w:rPr>
      </w:pPr>
      <w:r w:rsidRPr="009F2CAC">
        <w:rPr>
          <w:rFonts w:ascii="Helv" w:hAnsi="Helv" w:cs="Helv"/>
          <w:color w:val="000000"/>
          <w:sz w:val="20"/>
          <w:szCs w:val="20"/>
          <w:u w:val="single"/>
          <w:lang w:eastAsia="cs-CZ"/>
        </w:rPr>
        <w:t xml:space="preserve">Úvod: </w:t>
      </w:r>
    </w:p>
    <w:p w:rsidR="00083BFF" w:rsidRDefault="00083BFF" w:rsidP="00083BFF">
      <w:pPr>
        <w:spacing w:after="12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V roce 2015-2016 tvořily převážnou část společností/dodavatelů dodavatelé z provincie Ontario, bylo to celých 90%. Nabídky zde ale mohou podávat rovněž firmy z ostatních provincií Kanady a v rámci dohody CETA (The Canada-European Union Comprehensive Economic and Trade Agreement) nyní nově od 21. září 2017 také evropské společnosti. Toto probíhá v souladu s pravidly veřejné soutěže.</w:t>
      </w:r>
    </w:p>
    <w:p w:rsidR="00083BFF" w:rsidRPr="006F574C" w:rsidRDefault="00083BFF" w:rsidP="00083BFF">
      <w:pPr>
        <w:spacing w:after="12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  <w:r>
        <w:rPr>
          <w:rFonts w:ascii="Helv" w:hAnsi="Helv" w:cs="Helv"/>
          <w:color w:val="000000"/>
          <w:sz w:val="20"/>
          <w:szCs w:val="20"/>
          <w:u w:val="single"/>
          <w:lang w:eastAsia="cs-CZ"/>
        </w:rPr>
        <w:t>P</w:t>
      </w:r>
      <w:r w:rsidRPr="00C76E73">
        <w:rPr>
          <w:rFonts w:ascii="Helv" w:hAnsi="Helv" w:cs="Helv"/>
          <w:color w:val="000000"/>
          <w:sz w:val="20"/>
          <w:szCs w:val="20"/>
          <w:u w:val="single"/>
          <w:lang w:eastAsia="cs-CZ"/>
        </w:rPr>
        <w:t>ravidla a legislativ</w:t>
      </w:r>
      <w:r>
        <w:rPr>
          <w:rFonts w:ascii="Helv" w:hAnsi="Helv" w:cs="Helv"/>
          <w:color w:val="000000"/>
          <w:sz w:val="20"/>
          <w:szCs w:val="20"/>
          <w:u w:val="single"/>
          <w:lang w:eastAsia="cs-CZ"/>
        </w:rPr>
        <w:t>a</w:t>
      </w:r>
      <w:r w:rsidRPr="00C76E73">
        <w:rPr>
          <w:rFonts w:ascii="Helv" w:hAnsi="Helv" w:cs="Helv"/>
          <w:color w:val="000000"/>
          <w:sz w:val="20"/>
          <w:szCs w:val="20"/>
          <w:u w:val="single"/>
          <w:lang w:eastAsia="cs-CZ"/>
        </w:rPr>
        <w:t xml:space="preserve"> při přípravě podání nabídky</w:t>
      </w:r>
      <w:r>
        <w:rPr>
          <w:rFonts w:ascii="Helv" w:hAnsi="Helv" w:cs="Helv"/>
          <w:color w:val="000000"/>
          <w:sz w:val="20"/>
          <w:szCs w:val="20"/>
          <w:lang w:eastAsia="cs-CZ"/>
        </w:rPr>
        <w:t>:</w:t>
      </w:r>
    </w:p>
    <w:p w:rsidR="00083BFF" w:rsidRPr="00C76E73" w:rsidRDefault="00083BFF" w:rsidP="00083BFF">
      <w:pPr>
        <w:spacing w:after="12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C76E73">
        <w:rPr>
          <w:rFonts w:ascii="Helv" w:hAnsi="Helv" w:cs="Helv"/>
          <w:color w:val="000000"/>
          <w:sz w:val="20"/>
          <w:szCs w:val="20"/>
          <w:lang w:eastAsia="cs-CZ"/>
        </w:rPr>
        <w:t>Vyhlášení veřejné zakázky a zhodnocení</w:t>
      </w:r>
      <w:r>
        <w:rPr>
          <w:rFonts w:ascii="Helv" w:hAnsi="Helv" w:cs="Helv"/>
          <w:color w:val="000000"/>
          <w:sz w:val="20"/>
          <w:szCs w:val="20"/>
          <w:lang w:eastAsia="cs-CZ"/>
        </w:rPr>
        <w:t>:</w:t>
      </w:r>
    </w:p>
    <w:p w:rsidR="00083BFF" w:rsidRDefault="00083BFF" w:rsidP="00083BFF">
      <w:pPr>
        <w:numPr>
          <w:ilvl w:val="0"/>
          <w:numId w:val="6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Provincie Ontario vyhlásí veřejnou zakázku</w:t>
      </w:r>
    </w:p>
    <w:p w:rsidR="00083BFF" w:rsidRDefault="00083BFF" w:rsidP="00083BFF">
      <w:pPr>
        <w:numPr>
          <w:ilvl w:val="0"/>
          <w:numId w:val="6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Dodavatelé ucházející se o veřejnou zakázku odešlou nabídku, tzv. „Kontrakt A“</w:t>
      </w:r>
    </w:p>
    <w:p w:rsidR="00083BFF" w:rsidRDefault="00083BFF" w:rsidP="00083BFF">
      <w:pPr>
        <w:numPr>
          <w:ilvl w:val="0"/>
          <w:numId w:val="6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Provincie Ontario vybere nejlepší nabídku, tzn. nabídku ohodnocenou nejvyšším počtem bodů</w:t>
      </w:r>
    </w:p>
    <w:p w:rsidR="00083BFF" w:rsidRDefault="00083BFF" w:rsidP="00083BFF">
      <w:pPr>
        <w:numPr>
          <w:ilvl w:val="0"/>
          <w:numId w:val="6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Vybraná společnost či dodavatel, který poskytl nejvhodnější nabídku je vyzván k vypracování nabídky konečné, tzv. „Kontrakt B“</w:t>
      </w: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Povinností kupujícího je: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zveřejnit všechny informace a podmínky veřejné soutěže, /Kontrakt A  je právní smlouvou mezi každým dodavatelem, který vypracoval nabídku a společností, která nabídku vyhlásila/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vyloučit nekompatibilní nabídky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vést spravedlivou veřejnou soutěž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zadat zakázku vybranému dodavateli, jak bylo předepsáno</w:t>
      </w: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Povinnosti dodavatele: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nabídka dodavatele bude na určitou dobu neodvolatelná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pokud dodavatel bude vyhodnocen jako nejlepší a vybrán, je povinen připravit pro odběratele kontrakt B</w:t>
      </w:r>
    </w:p>
    <w:p w:rsidR="00083BFF" w:rsidRPr="00FC4ED4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  <w:r w:rsidRPr="00047E6F">
        <w:rPr>
          <w:rFonts w:ascii="Helv" w:hAnsi="Helv" w:cs="Helv"/>
          <w:color w:val="000000"/>
          <w:sz w:val="20"/>
          <w:szCs w:val="20"/>
          <w:lang w:eastAsia="cs-CZ"/>
        </w:rPr>
        <w:t xml:space="preserve">nejsou povoleny </w:t>
      </w:r>
      <w:r>
        <w:rPr>
          <w:rFonts w:ascii="Helv" w:hAnsi="Helv" w:cs="Helv"/>
          <w:color w:val="000000"/>
          <w:sz w:val="20"/>
          <w:szCs w:val="20"/>
          <w:lang w:eastAsia="cs-CZ"/>
        </w:rPr>
        <w:t>proti-nabídky</w:t>
      </w:r>
    </w:p>
    <w:p w:rsidR="00083BFF" w:rsidRPr="00863D22" w:rsidRDefault="00083BFF" w:rsidP="00083BFF">
      <w:p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</w:p>
    <w:p w:rsidR="00083BFF" w:rsidRDefault="00083BFF" w:rsidP="00083BF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Potenciální dodavatelé a/nebo průmyslová sdružení mohou být před vlastní veřejnou zakázkou konzultováni a požádáni o informace týkající se tohoto výběrového řízení prostřednictvím následujících dokumentů</w:t>
      </w:r>
      <w:r w:rsidRPr="00863D22">
        <w:rPr>
          <w:color w:val="auto"/>
          <w:sz w:val="20"/>
          <w:szCs w:val="20"/>
        </w:rPr>
        <w:t xml:space="preserve">: </w:t>
      </w:r>
    </w:p>
    <w:p w:rsidR="00083BFF" w:rsidRPr="00863D22" w:rsidRDefault="00083BFF" w:rsidP="00083BFF">
      <w:pPr>
        <w:pStyle w:val="Default"/>
        <w:numPr>
          <w:ilvl w:val="0"/>
          <w:numId w:val="2"/>
        </w:numPr>
        <w:spacing w:after="6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Žádost o informace, </w:t>
      </w:r>
      <w:r w:rsidRPr="00863D22">
        <w:rPr>
          <w:color w:val="auto"/>
          <w:sz w:val="20"/>
          <w:szCs w:val="20"/>
        </w:rPr>
        <w:t xml:space="preserve">Request for Information (RFI) </w:t>
      </w:r>
    </w:p>
    <w:p w:rsidR="00083BFF" w:rsidRDefault="00083BFF" w:rsidP="00083BFF">
      <w:pPr>
        <w:pStyle w:val="Default"/>
        <w:numPr>
          <w:ilvl w:val="0"/>
          <w:numId w:val="2"/>
        </w:numPr>
        <w:spacing w:after="6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Žádost o nabídku, Request </w:t>
      </w:r>
      <w:r w:rsidRPr="00863D22">
        <w:rPr>
          <w:color w:val="auto"/>
          <w:sz w:val="20"/>
          <w:szCs w:val="20"/>
        </w:rPr>
        <w:t xml:space="preserve">for Bid (RFB) </w:t>
      </w:r>
      <w:r>
        <w:rPr>
          <w:color w:val="auto"/>
          <w:sz w:val="20"/>
          <w:szCs w:val="20"/>
        </w:rPr>
        <w:t xml:space="preserve"> </w:t>
      </w:r>
      <w:r w:rsidRPr="00863D22">
        <w:rPr>
          <w:color w:val="auto"/>
          <w:sz w:val="20"/>
          <w:szCs w:val="20"/>
        </w:rPr>
        <w:t xml:space="preserve"> </w:t>
      </w:r>
    </w:p>
    <w:p w:rsidR="00083BFF" w:rsidRPr="008671D3" w:rsidRDefault="00083BFF" w:rsidP="00083BFF">
      <w:pPr>
        <w:pStyle w:val="Default"/>
        <w:numPr>
          <w:ilvl w:val="0"/>
          <w:numId w:val="2"/>
        </w:numPr>
        <w:spacing w:after="64"/>
        <w:jc w:val="both"/>
        <w:rPr>
          <w:color w:val="auto"/>
          <w:sz w:val="20"/>
          <w:szCs w:val="20"/>
        </w:rPr>
      </w:pPr>
      <w:r w:rsidRPr="008671D3">
        <w:rPr>
          <w:color w:val="auto"/>
          <w:sz w:val="20"/>
          <w:szCs w:val="20"/>
        </w:rPr>
        <w:t xml:space="preserve">Návrh žádosti o nabídku, Draft RFB </w:t>
      </w:r>
    </w:p>
    <w:p w:rsidR="00083BFF" w:rsidRPr="00863D22" w:rsidRDefault="00083BFF" w:rsidP="00083BF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 průběhu procesu přijímání nabídek, tedy ode dne zveřejnění zakázky ke dni uzavření výběru dodavatele, mohou potenciální dodavatelé oslovit pouze určenou kontaktní osobu.</w:t>
      </w: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Default="00083BFF" w:rsidP="00083BFF">
      <w:pPr>
        <w:spacing w:after="12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Request for bid (RFB) template  - Vzor žádosti o nabídku</w:t>
      </w:r>
    </w:p>
    <w:p w:rsidR="00083BFF" w:rsidRPr="00073BFD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 xml:space="preserve">jednoduchý a efektivní vzor, který je použit jak k žádosti o nabídku, tak k podání nabídky, pro uživatele je </w:t>
      </w:r>
      <w:r>
        <w:rPr>
          <w:rFonts w:ascii="Helv" w:hAnsi="Helv" w:cs="Helv"/>
          <w:color w:val="000000"/>
          <w:sz w:val="20"/>
          <w:szCs w:val="20"/>
          <w:lang w:eastAsia="cs-CZ"/>
        </w:rPr>
        <w:t>jed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 xml:space="preserve">nodušší a přehlednější než 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jeho 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předchozí verze</w:t>
      </w:r>
    </w:p>
    <w:p w:rsidR="00083BFF" w:rsidRPr="00C15475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klíčové údaje a termíny jsou uvedeny v úvodu</w:t>
      </w:r>
    </w:p>
    <w:p w:rsidR="00083BFF" w:rsidRPr="00C15475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podmínky jsou uvedeny přehledně ve stejném odstavci</w:t>
      </w:r>
    </w:p>
    <w:p w:rsidR="00083BFF" w:rsidRPr="00D35181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  <w:r w:rsidRPr="00A63413">
        <w:rPr>
          <w:rFonts w:ascii="Helv" w:hAnsi="Helv" w:cs="Helv"/>
          <w:color w:val="000000"/>
          <w:sz w:val="20"/>
          <w:szCs w:val="20"/>
          <w:lang w:eastAsia="cs-CZ"/>
        </w:rPr>
        <w:t>je to zjednodušená, efektivnější forma nabídky</w:t>
      </w: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Pr="009F2CAC" w:rsidRDefault="00083BFF" w:rsidP="00083BFF">
      <w:pPr>
        <w:jc w:val="both"/>
        <w:rPr>
          <w:rFonts w:ascii="Helv" w:hAnsi="Helv" w:cs="Helv"/>
          <w:b/>
          <w:color w:val="000000"/>
          <w:sz w:val="20"/>
          <w:szCs w:val="20"/>
          <w:lang w:eastAsia="cs-CZ"/>
        </w:rPr>
      </w:pPr>
      <w:r w:rsidRPr="009F2CAC">
        <w:rPr>
          <w:rFonts w:ascii="Helv" w:hAnsi="Helv" w:cs="Helv"/>
          <w:b/>
          <w:color w:val="000000"/>
          <w:sz w:val="20"/>
          <w:szCs w:val="20"/>
          <w:lang w:eastAsia="cs-CZ"/>
        </w:rPr>
        <w:t>Jak se tedy např. v Ontariu případný zájemce dostane k informacím o zakázkách</w:t>
      </w:r>
    </w:p>
    <w:p w:rsidR="00083BFF" w:rsidRDefault="00083BFF" w:rsidP="00083BFF">
      <w:pPr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Nejprve je třeba se na portálu </w:t>
      </w:r>
      <w:hyperlink r:id="rId8" w:history="1">
        <w:r w:rsidRPr="000E6237">
          <w:rPr>
            <w:rStyle w:val="Hypertextovodkaz"/>
            <w:rFonts w:ascii="Helv" w:hAnsi="Helv" w:cs="Helv"/>
            <w:sz w:val="20"/>
            <w:szCs w:val="20"/>
            <w:lang w:eastAsia="cs-CZ"/>
          </w:rPr>
          <w:t>zaregistrovat</w:t>
        </w:r>
      </w:hyperlink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 (cca 5 minut), aby bylo možné vyhledávat informace o jednotlivých tendrech. Po registraci (zdarma) se přihlásíte a můžete již vyhledávat v systému. </w:t>
      </w:r>
    </w:p>
    <w:p w:rsidR="00083BFF" w:rsidRPr="004C544A" w:rsidRDefault="00083BFF" w:rsidP="00083BFF">
      <w:pPr>
        <w:jc w:val="both"/>
        <w:rPr>
          <w:rFonts w:ascii="Helv" w:hAnsi="Helv" w:cs="Helv"/>
          <w:sz w:val="20"/>
          <w:szCs w:val="20"/>
          <w:lang w:eastAsia="cs-CZ"/>
        </w:rPr>
      </w:pPr>
      <w:r w:rsidRPr="004C544A">
        <w:rPr>
          <w:rFonts w:ascii="Helv" w:hAnsi="Helv" w:cs="Helv"/>
          <w:sz w:val="20"/>
          <w:szCs w:val="20"/>
          <w:lang w:eastAsia="cs-CZ"/>
        </w:rPr>
        <w:lastRenderedPageBreak/>
        <w:t>Na úvodní stránce je třeba si otevřít položku</w:t>
      </w:r>
      <w:r>
        <w:rPr>
          <w:rFonts w:ascii="Helv" w:hAnsi="Helv" w:cs="Helv"/>
          <w:sz w:val="20"/>
          <w:szCs w:val="20"/>
          <w:lang w:eastAsia="cs-CZ"/>
        </w:rPr>
        <w:t xml:space="preserve"> </w:t>
      </w:r>
      <w:r w:rsidRPr="00347B7C">
        <w:rPr>
          <w:rFonts w:ascii="Helv" w:hAnsi="Helv" w:cs="Helv"/>
          <w:sz w:val="20"/>
          <w:szCs w:val="20"/>
          <w:lang w:eastAsia="cs-CZ"/>
        </w:rPr>
        <w:t>„</w:t>
      </w:r>
      <w:r w:rsidRPr="004C544A">
        <w:rPr>
          <w:rFonts w:ascii="Helv" w:hAnsi="Helv" w:cs="Helv"/>
          <w:sz w:val="20"/>
          <w:szCs w:val="20"/>
          <w:lang w:eastAsia="cs-CZ"/>
        </w:rPr>
        <w:t xml:space="preserve">Opportunity Open to all Suppliers“. Můžete si otevřít filtry/drop down menu a podle něj vyhledávat. Nejjednodušší je využít filtr „Project Info“ a hledat podle názvu (či podle referenčního čísla, pokud jej znáte), ale stejně tak můžete využít jakýkoliv jiný z nabízených filtrů. </w:t>
      </w:r>
    </w:p>
    <w:p w:rsidR="00083BFF" w:rsidRPr="004C544A" w:rsidRDefault="00083BFF" w:rsidP="00083BFF">
      <w:pPr>
        <w:jc w:val="both"/>
        <w:rPr>
          <w:rFonts w:ascii="Helv" w:hAnsi="Helv" w:cs="Helv"/>
          <w:sz w:val="20"/>
          <w:szCs w:val="20"/>
          <w:lang w:eastAsia="cs-CZ"/>
        </w:rPr>
      </w:pPr>
      <w:r w:rsidRPr="004C544A">
        <w:rPr>
          <w:rFonts w:ascii="Helv" w:hAnsi="Helv" w:cs="Helv"/>
          <w:sz w:val="20"/>
          <w:szCs w:val="20"/>
          <w:lang w:eastAsia="cs-CZ"/>
        </w:rPr>
        <w:t xml:space="preserve">Zakázky je také možné vyhledávat prostřednictvím zadání </w:t>
      </w:r>
      <w:r w:rsidRPr="001A1EA3">
        <w:rPr>
          <w:rFonts w:ascii="Helv" w:hAnsi="Helv" w:cs="Helv"/>
          <w:sz w:val="20"/>
          <w:szCs w:val="20"/>
          <w:lang w:eastAsia="cs-CZ"/>
        </w:rPr>
        <w:t>UNSPSC (United Nations Standard Products and Services) kódu do profilu - pak vždy uživatel obdrží informaci o tom, že byla</w:t>
      </w:r>
      <w:r w:rsidRPr="004C544A">
        <w:rPr>
          <w:rFonts w:ascii="Helv" w:hAnsi="Helv" w:cs="Helv"/>
          <w:sz w:val="20"/>
          <w:szCs w:val="20"/>
          <w:lang w:eastAsia="cs-CZ"/>
        </w:rPr>
        <w:t xml:space="preserve"> vypsána zakázka s tímto kódem. </w:t>
      </w:r>
    </w:p>
    <w:p w:rsidR="00083BFF" w:rsidRDefault="00083BFF" w:rsidP="00083BFF">
      <w:pPr>
        <w:jc w:val="both"/>
        <w:rPr>
          <w:rFonts w:ascii="Helv" w:hAnsi="Helv" w:cs="Helv"/>
          <w:sz w:val="20"/>
          <w:szCs w:val="20"/>
          <w:lang w:eastAsia="cs-CZ"/>
        </w:rPr>
      </w:pPr>
      <w:r w:rsidRPr="004C544A">
        <w:rPr>
          <w:rFonts w:ascii="Helv" w:hAnsi="Helv" w:cs="Helv"/>
          <w:sz w:val="20"/>
          <w:szCs w:val="20"/>
          <w:lang w:eastAsia="cs-CZ"/>
        </w:rPr>
        <w:t xml:space="preserve">Poté, co najdete zakázku, kterou jste hledali, rozkliknete její název („Project Title“. Ukáže se celý rozsah základních informací, které jsou o zakázce dostupné. </w:t>
      </w:r>
    </w:p>
    <w:p w:rsidR="00083BFF" w:rsidRPr="004C544A" w:rsidRDefault="00083BFF" w:rsidP="00083BFF">
      <w:pPr>
        <w:jc w:val="both"/>
        <w:rPr>
          <w:rFonts w:ascii="Helv" w:hAnsi="Helv" w:cs="Helv"/>
          <w:sz w:val="20"/>
          <w:szCs w:val="20"/>
          <w:lang w:eastAsia="cs-CZ"/>
        </w:rPr>
      </w:pPr>
      <w:r w:rsidRPr="004C544A">
        <w:rPr>
          <w:rFonts w:ascii="Helv" w:hAnsi="Helv" w:cs="Helv"/>
          <w:sz w:val="20"/>
          <w:szCs w:val="20"/>
          <w:lang w:eastAsia="cs-CZ"/>
        </w:rPr>
        <w:t xml:space="preserve">V této fázi je třeba posunout se na stránce až dolů, v některých zakázkách jsou dostupné informace již v této části, v podobě příloh zde. Ve většině zakázek tomu ovšem tak není, a v takovém případě je třeba v částí „Published Lots“, kde na pravé straně stránky uvidíte ikonku modrého pera, tuto ikonku rozkliknout. </w:t>
      </w:r>
    </w:p>
    <w:p w:rsidR="00083BFF" w:rsidRDefault="00083BFF" w:rsidP="00083BFF">
      <w:pPr>
        <w:jc w:val="both"/>
        <w:rPr>
          <w:rFonts w:ascii="Helv" w:hAnsi="Helv" w:cs="Helv"/>
          <w:sz w:val="20"/>
          <w:szCs w:val="20"/>
          <w:lang w:eastAsia="cs-CZ"/>
        </w:rPr>
      </w:pPr>
      <w:r w:rsidRPr="004C544A">
        <w:rPr>
          <w:rFonts w:ascii="Helv" w:hAnsi="Helv" w:cs="Helv"/>
          <w:sz w:val="20"/>
          <w:szCs w:val="20"/>
          <w:lang w:eastAsia="cs-CZ"/>
        </w:rPr>
        <w:t xml:space="preserve">Poté se otevře tzv. RFx – v pravé horní části kliknete na položku „Express Interest“, čímž se otevřou všechny další dostupné přílohy – v části „Buyer´s Attachment“ a zároveň se zakázka zařadí v úvodním menu do položky „My RFXs“ a není třeba ji již znovu vyhledávat. </w:t>
      </w:r>
      <w:r>
        <w:rPr>
          <w:rFonts w:ascii="Helv" w:hAnsi="Helv" w:cs="Helv"/>
          <w:sz w:val="20"/>
          <w:szCs w:val="20"/>
          <w:lang w:eastAsia="cs-CZ"/>
        </w:rPr>
        <w:t xml:space="preserve"> </w:t>
      </w:r>
    </w:p>
    <w:p w:rsidR="00083BFF" w:rsidRPr="00A63413" w:rsidRDefault="00083BFF" w:rsidP="00083BFF">
      <w:pPr>
        <w:spacing w:after="0"/>
        <w:jc w:val="both"/>
        <w:rPr>
          <w:rFonts w:ascii="Helv" w:hAnsi="Helv" w:cs="Helv"/>
          <w:color w:val="000000"/>
          <w:sz w:val="18"/>
          <w:szCs w:val="18"/>
          <w:lang w:eastAsia="cs-CZ"/>
        </w:rPr>
      </w:pPr>
    </w:p>
    <w:p w:rsidR="00083BFF" w:rsidRPr="009F2CAC" w:rsidRDefault="00083BFF" w:rsidP="00083BFF">
      <w:pPr>
        <w:jc w:val="both"/>
        <w:rPr>
          <w:rFonts w:cs="Helv"/>
          <w:b/>
          <w:color w:val="000000"/>
          <w:sz w:val="24"/>
          <w:szCs w:val="24"/>
          <w:lang w:eastAsia="cs-CZ"/>
        </w:rPr>
      </w:pPr>
      <w:r w:rsidRPr="009F2CAC">
        <w:rPr>
          <w:rFonts w:cs="Helv"/>
          <w:b/>
          <w:color w:val="000000"/>
          <w:sz w:val="24"/>
          <w:szCs w:val="24"/>
          <w:lang w:eastAsia="cs-CZ"/>
        </w:rPr>
        <w:t>POSTUP PODÁNÍ NABÍDKY</w:t>
      </w:r>
    </w:p>
    <w:p w:rsidR="00083BFF" w:rsidRPr="00772D5A" w:rsidRDefault="00083BFF" w:rsidP="00083BFF">
      <w:pPr>
        <w:spacing w:after="0" w:line="240" w:lineRule="auto"/>
      </w:pP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V tomto kroku již předpokládáme, že jste zaregistrovaní na portálu  </w:t>
      </w:r>
      <w:hyperlink r:id="rId9" w:history="1">
        <w:r w:rsidRPr="00772D5A">
          <w:rPr>
            <w:rStyle w:val="Hypertextovodkaz"/>
          </w:rPr>
          <w:t>https://ontariotenders.bravosolution.com/esop/nac-host/public/web/login.html</w:t>
        </w:r>
      </w:hyperlink>
      <w:r w:rsidRPr="00772D5A">
        <w:t xml:space="preserve">  a chcete odpovědět na konkrétní  veřejnou zakázku.</w:t>
      </w:r>
      <w:r>
        <w:t xml:space="preserve"> </w:t>
      </w:r>
      <w:r w:rsidRPr="00C923D9">
        <w:rPr>
          <w:i/>
        </w:rPr>
        <w:t>(Pokud nejste, je prvním potřebným krokem registrace na portálu a vyplnění profilu.)</w:t>
      </w:r>
      <w:r>
        <w:t xml:space="preserve"> </w:t>
      </w:r>
    </w:p>
    <w:p w:rsidR="00083BFF" w:rsidRDefault="00083BFF" w:rsidP="00083BFF">
      <w:pPr>
        <w:spacing w:after="0" w:line="240" w:lineRule="auto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Default="00083BFF" w:rsidP="00083BFF">
      <w:pPr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Po přihlášení se dostanete přes „My Procurement Projects“ na položku „RFx Open to All Suppliers“. Zde si najdete konkrétní zakázku, na kterou budete odpovídat.</w:t>
      </w:r>
    </w:p>
    <w:p w:rsidR="00083BFF" w:rsidRPr="001A1EA3" w:rsidRDefault="00083BFF" w:rsidP="00083BFF">
      <w:pPr>
        <w:jc w:val="both"/>
        <w:rPr>
          <w:rFonts w:ascii="Helv" w:hAnsi="Helv" w:cs="Helv"/>
          <w:color w:val="215868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Dále si v horní části lišty této zakázky vyberte položku „Express Interest“. Tímto se dostanete na položku RFx Details, kde najdete veškerou dokumentaci a posléze zde můžete podat Vaši nabídku.</w:t>
      </w:r>
    </w:p>
    <w:p w:rsidR="00083BFF" w:rsidRPr="009F2CAC" w:rsidRDefault="00083BFF" w:rsidP="00083BFF">
      <w:pPr>
        <w:jc w:val="both"/>
        <w:rPr>
          <w:rFonts w:ascii="Helv" w:hAnsi="Helv" w:cs="Helv"/>
          <w:sz w:val="20"/>
          <w:szCs w:val="20"/>
          <w:lang w:eastAsia="cs-CZ"/>
        </w:rPr>
      </w:pPr>
      <w:r w:rsidRPr="009F2CAC">
        <w:rPr>
          <w:rFonts w:ascii="Helv" w:hAnsi="Helv" w:cs="Helv"/>
          <w:sz w:val="20"/>
          <w:szCs w:val="20"/>
          <w:lang w:eastAsia="cs-CZ"/>
        </w:rPr>
        <w:t xml:space="preserve">Získání informací je bez poplatku, podání nabídky je již zpoplatněno CAD 350 /CAD 339+daň/. </w:t>
      </w:r>
    </w:p>
    <w:p w:rsidR="00083BFF" w:rsidRDefault="00083BFF" w:rsidP="00083BFF">
      <w:pPr>
        <w:spacing w:after="0" w:line="240" w:lineRule="auto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Pr="001B60E0" w:rsidRDefault="00083BFF" w:rsidP="00083BFF">
      <w:pPr>
        <w:jc w:val="both"/>
        <w:rPr>
          <w:rFonts w:cs="Helv"/>
          <w:b/>
          <w:color w:val="000000"/>
          <w:sz w:val="28"/>
          <w:szCs w:val="28"/>
          <w:lang w:eastAsia="cs-CZ"/>
        </w:rPr>
      </w:pPr>
      <w:r w:rsidRPr="00E56C5C">
        <w:rPr>
          <w:rFonts w:cs="Helv"/>
          <w:b/>
          <w:color w:val="000000"/>
          <w:sz w:val="24"/>
          <w:szCs w:val="24"/>
          <w:lang w:eastAsia="cs-CZ"/>
        </w:rPr>
        <w:t>SOUČÁSTI ZPRACOVANÉ NABÍDKY</w:t>
      </w:r>
      <w:r w:rsidRPr="001B60E0">
        <w:rPr>
          <w:rFonts w:cs="Helv"/>
          <w:b/>
          <w:color w:val="000000"/>
          <w:sz w:val="28"/>
          <w:szCs w:val="28"/>
          <w:lang w:eastAsia="cs-CZ"/>
        </w:rPr>
        <w:t>:</w:t>
      </w:r>
    </w:p>
    <w:p w:rsidR="00083BFF" w:rsidRPr="006D772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u w:val="single"/>
          <w:lang w:eastAsia="cs-CZ"/>
        </w:rPr>
      </w:pPr>
      <w:r w:rsidRPr="006D772F">
        <w:rPr>
          <w:rFonts w:ascii="Helv" w:hAnsi="Helv" w:cs="Helv"/>
          <w:color w:val="000000"/>
          <w:sz w:val="20"/>
          <w:szCs w:val="20"/>
          <w:u w:val="single"/>
          <w:lang w:eastAsia="cs-CZ"/>
        </w:rPr>
        <w:t>Část první: Qualification Envelope – Kvalifikační část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klíčové údaje jsou uvedeny v úvodní části a umožní dodavatelům zvážit a rychle rozhodnout, jestli právě tato veřejná zakázka je pro ně vhodná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informuje dodavatele, co přesně odběratel od dodavatele očekává a jestli je dodavatel schopen toto vše nabídnout</w:t>
      </w: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6D772F">
        <w:rPr>
          <w:rFonts w:ascii="Helv" w:hAnsi="Helv" w:cs="Helv"/>
          <w:color w:val="000000"/>
          <w:sz w:val="20"/>
          <w:szCs w:val="20"/>
          <w:u w:val="single"/>
          <w:lang w:eastAsia="cs-CZ"/>
        </w:rPr>
        <w:t>Část druhá: Technical Envelope – Technická část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 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tato část je pro zpracování nabídky nejobtížnější a vyžaduje nejvíce odpovědí, vysvětlení a objasnění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je to nejdůležitější součást zpracované nabídky, její ohodnocení tvoří 70-80% celkového hodnocení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je zaměřena na kvalifikaci a zkušenosti dodavatele a</w:t>
      </w:r>
      <w:r w:rsidRPr="00E20649">
        <w:rPr>
          <w:rFonts w:ascii="Helv" w:hAnsi="Helv" w:cs="Helv"/>
          <w:color w:val="000000"/>
          <w:sz w:val="20"/>
          <w:szCs w:val="20"/>
          <w:lang w:eastAsia="cs-CZ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týká se především schopností a odpovědností dodavatele a </w:t>
      </w:r>
      <w:r w:rsidRPr="00772D5A">
        <w:rPr>
          <w:rFonts w:ascii="Helv" w:hAnsi="Helv" w:cs="Helv"/>
          <w:color w:val="000000"/>
          <w:sz w:val="20"/>
          <w:szCs w:val="20"/>
          <w:lang w:eastAsia="cs-CZ"/>
        </w:rPr>
        <w:t>“</w:t>
      </w:r>
      <w:r>
        <w:rPr>
          <w:rFonts w:ascii="Helv" w:hAnsi="Helv" w:cs="Helv"/>
          <w:color w:val="000000"/>
          <w:sz w:val="20"/>
          <w:szCs w:val="20"/>
          <w:lang w:eastAsia="cs-CZ"/>
        </w:rPr>
        <w:t>Work plan“, tedy detailního plánu dodání daných služeb/výrobků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lastRenderedPageBreak/>
        <w:t>obsahuje různé typy otázek: otázky jednoznačné, vyžadující odpovědi typu ano nebo ne, ale také otázky poskytující prostor k vysvětlení a objasnění a popisu nabízených služeb apod.</w:t>
      </w:r>
    </w:p>
    <w:p w:rsidR="00083BFF" w:rsidRDefault="00083BFF" w:rsidP="00083BFF">
      <w:pPr>
        <w:spacing w:after="0"/>
        <w:ind w:left="72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6D772F">
        <w:rPr>
          <w:rFonts w:ascii="Helv" w:hAnsi="Helv" w:cs="Helv"/>
          <w:color w:val="000000"/>
          <w:sz w:val="20"/>
          <w:szCs w:val="20"/>
          <w:u w:val="single"/>
          <w:lang w:eastAsia="cs-CZ"/>
        </w:rPr>
        <w:t>Část t</w:t>
      </w:r>
      <w:r w:rsidRPr="006D772F">
        <w:rPr>
          <w:rFonts w:cs="Helv"/>
          <w:color w:val="000000"/>
          <w:sz w:val="20"/>
          <w:szCs w:val="20"/>
          <w:u w:val="single"/>
          <w:lang w:eastAsia="cs-CZ"/>
        </w:rPr>
        <w:t>řetí</w:t>
      </w:r>
      <w:r w:rsidRPr="006D772F">
        <w:rPr>
          <w:rFonts w:ascii="Helv" w:hAnsi="Helv" w:cs="Helv"/>
          <w:color w:val="000000"/>
          <w:sz w:val="20"/>
          <w:szCs w:val="20"/>
          <w:u w:val="single"/>
          <w:lang w:eastAsia="cs-CZ"/>
        </w:rPr>
        <w:t>: Commercial Envelope - Obchodní část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900DB9">
        <w:rPr>
          <w:rFonts w:ascii="Helv" w:hAnsi="Helv" w:cs="Helv"/>
          <w:color w:val="000000"/>
          <w:sz w:val="20"/>
          <w:szCs w:val="20"/>
          <w:lang w:eastAsia="cs-CZ"/>
        </w:rPr>
        <w:t>obsahuje cenovou nabídku, která má být přehledně rozpracovaná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 </w:t>
      </w:r>
    </w:p>
    <w:p w:rsidR="00083BFF" w:rsidRPr="00900DB9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900DB9">
        <w:rPr>
          <w:rFonts w:ascii="Helv" w:hAnsi="Helv" w:cs="Helv"/>
          <w:color w:val="000000"/>
          <w:sz w:val="20"/>
          <w:szCs w:val="20"/>
          <w:lang w:eastAsia="cs-CZ"/>
        </w:rPr>
        <w:t>je posuzována z hlediska požadavků odběratele a koncového uživatele</w:t>
      </w:r>
    </w:p>
    <w:p w:rsidR="00083BFF" w:rsidRDefault="00083BFF" w:rsidP="00083BFF">
      <w:p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</w:p>
    <w:p w:rsidR="00083BFF" w:rsidRPr="00772D5A" w:rsidRDefault="00083BFF" w:rsidP="00083BFF">
      <w:pPr>
        <w:spacing w:after="0"/>
        <w:jc w:val="both"/>
        <w:rPr>
          <w:rFonts w:ascii="Helv" w:hAnsi="Helv" w:cs="Helv"/>
          <w:b/>
          <w:color w:val="000000"/>
          <w:sz w:val="20"/>
          <w:szCs w:val="20"/>
          <w:lang w:eastAsia="cs-CZ"/>
        </w:rPr>
      </w:pPr>
      <w:r w:rsidRPr="00772D5A">
        <w:rPr>
          <w:rFonts w:ascii="Helv" w:hAnsi="Helv" w:cs="Helv"/>
          <w:b/>
          <w:color w:val="000000"/>
          <w:sz w:val="20"/>
          <w:szCs w:val="20"/>
          <w:lang w:eastAsia="cs-CZ"/>
        </w:rPr>
        <w:t>Tipy a doporučení ke zpracování nabídky: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přečíst si pozorně veškerou dokumentaci, včetně příloh 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postupovat podle instrukcí a přiložit pouze požadované materiály a dokumenty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nenechávat podání nabídky a platbu na poslední chvíli; nabídku se doporučuje podat nejpozději 1den před datem uzavření této veřejné zakázky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zodpovědět všechny relevantní otázky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chránit Vaše přihlašovací údaje a heslo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7E4BCC">
        <w:rPr>
          <w:rFonts w:ascii="Helv" w:hAnsi="Helv" w:cs="Helv"/>
          <w:color w:val="000000"/>
          <w:sz w:val="20"/>
          <w:szCs w:val="20"/>
          <w:lang w:eastAsia="cs-CZ"/>
        </w:rPr>
        <w:t xml:space="preserve">ukládat průběžně zpracované části nabídky, 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včetně potvrzení,  tzv. </w:t>
      </w:r>
      <w:r w:rsidRPr="007E4BCC">
        <w:rPr>
          <w:rFonts w:ascii="Helv" w:hAnsi="Helv" w:cs="Helv"/>
          <w:color w:val="000000"/>
          <w:sz w:val="20"/>
          <w:szCs w:val="20"/>
          <w:lang w:eastAsia="cs-CZ"/>
        </w:rPr>
        <w:t xml:space="preserve">Confirmation page 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v případě vyskytnutí technických problémů je možné se obrátit na technickou podporu, buď telefonicky nebo prostřednictvím e-mailu</w:t>
      </w:r>
    </w:p>
    <w:p w:rsidR="00083BFF" w:rsidRDefault="00083BFF" w:rsidP="00083BFF">
      <w:pPr>
        <w:numPr>
          <w:ilvl w:val="0"/>
          <w:numId w:val="2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v případě, že dodavatel není vybrán/neuspěje při výběru, má možnost požádat o vysvětlení, tzv. debriefing, který je přínosný zejména pro podávání budoucích nabídek</w:t>
      </w:r>
    </w:p>
    <w:p w:rsidR="00083BFF" w:rsidRDefault="00083BFF" w:rsidP="00083BFF">
      <w:pPr>
        <w:spacing w:after="120"/>
        <w:jc w:val="both"/>
        <w:rPr>
          <w:rFonts w:ascii="Helv" w:hAnsi="Helv" w:cs="Helv"/>
          <w:b/>
          <w:color w:val="000000"/>
          <w:sz w:val="20"/>
          <w:szCs w:val="20"/>
          <w:lang w:eastAsia="cs-CZ"/>
        </w:rPr>
      </w:pPr>
    </w:p>
    <w:p w:rsidR="00083BFF" w:rsidRPr="00772D5A" w:rsidRDefault="00083BFF" w:rsidP="00083BFF">
      <w:pPr>
        <w:spacing w:after="120"/>
        <w:jc w:val="both"/>
        <w:rPr>
          <w:rFonts w:ascii="Helv" w:hAnsi="Helv" w:cs="Helv"/>
          <w:b/>
          <w:color w:val="000000"/>
          <w:sz w:val="20"/>
          <w:szCs w:val="20"/>
          <w:lang w:eastAsia="cs-CZ"/>
        </w:rPr>
      </w:pPr>
      <w:r w:rsidRPr="00772D5A">
        <w:rPr>
          <w:rFonts w:ascii="Helv" w:hAnsi="Helv" w:cs="Helv"/>
          <w:b/>
          <w:color w:val="000000"/>
          <w:sz w:val="20"/>
          <w:szCs w:val="20"/>
          <w:lang w:eastAsia="cs-CZ"/>
        </w:rPr>
        <w:t>Deset osvědčených postupů podání nabídky:</w:t>
      </w:r>
    </w:p>
    <w:p w:rsidR="00083BFF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pročtěte si pozorně celou dokumentaci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zkontrolujte časový plán událostí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 xml:space="preserve">pokud </w:t>
      </w:r>
      <w:r>
        <w:rPr>
          <w:rFonts w:ascii="Helv" w:hAnsi="Helv" w:cs="Helv"/>
          <w:color w:val="000000"/>
          <w:sz w:val="20"/>
          <w:szCs w:val="20"/>
          <w:lang w:eastAsia="cs-CZ"/>
        </w:rPr>
        <w:t>si potřebujete něco vyjasnit, můžete se ve stanovené lhůtě obrátit s otázkou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eastAsia="cs-CZ"/>
        </w:rPr>
        <w:t>na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 určen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ého 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zástupce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splňte všechna povinná požadovaná kritéria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odpovězte na všechny požadavky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popište, jak poskytnete dané služby nebo dodáte požadované výrobky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splňte všechny ostatní požadavky pro podání této konkrétní nabídky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 (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např. povolení a osvědčení k určitým službám, pojištění, bezpečnostní opatření apod.</w:t>
      </w:r>
      <w:r>
        <w:rPr>
          <w:rFonts w:ascii="Helv" w:hAnsi="Helv" w:cs="Helv"/>
          <w:color w:val="000000"/>
          <w:sz w:val="20"/>
          <w:szCs w:val="20"/>
          <w:lang w:eastAsia="cs-CZ"/>
        </w:rPr>
        <w:t>)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upravte </w:t>
      </w: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Vaši nabídku tak, aby byla úplná/kompletní</w:t>
      </w:r>
    </w:p>
    <w:p w:rsidR="00083BFF" w:rsidRPr="00073BFD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073BFD">
        <w:rPr>
          <w:rFonts w:ascii="Helv" w:hAnsi="Helv" w:cs="Helv"/>
          <w:color w:val="000000"/>
          <w:sz w:val="20"/>
          <w:szCs w:val="20"/>
          <w:lang w:eastAsia="cs-CZ"/>
        </w:rPr>
        <w:t>proveďte kontrolu kvality a ověřte Vaši cenovou nabídku</w:t>
      </w:r>
    </w:p>
    <w:p w:rsidR="00083BFF" w:rsidRPr="007E4BCC" w:rsidRDefault="00083BFF" w:rsidP="00083BFF">
      <w:pPr>
        <w:numPr>
          <w:ilvl w:val="0"/>
          <w:numId w:val="7"/>
        </w:numPr>
        <w:spacing w:after="0"/>
        <w:jc w:val="both"/>
        <w:rPr>
          <w:rFonts w:ascii="Helv" w:hAnsi="Helv" w:cs="Helv"/>
          <w:color w:val="000000"/>
          <w:sz w:val="20"/>
          <w:szCs w:val="20"/>
          <w:lang w:eastAsia="cs-CZ"/>
        </w:rPr>
      </w:pPr>
      <w:r w:rsidRPr="007E4BCC">
        <w:rPr>
          <w:rFonts w:ascii="Helv" w:hAnsi="Helv" w:cs="Helv"/>
          <w:color w:val="000000"/>
          <w:sz w:val="20"/>
          <w:szCs w:val="20"/>
          <w:lang w:eastAsia="cs-CZ"/>
        </w:rPr>
        <w:t>dodržujte požadované termíny</w:t>
      </w:r>
    </w:p>
    <w:p w:rsidR="00083BFF" w:rsidRDefault="00083BFF" w:rsidP="00083BFF">
      <w:pPr>
        <w:spacing w:after="0"/>
        <w:jc w:val="right"/>
        <w:rPr>
          <w:rFonts w:ascii="Helv" w:hAnsi="Helv" w:cs="Helv"/>
          <w:i/>
          <w:color w:val="000000"/>
          <w:sz w:val="20"/>
          <w:szCs w:val="20"/>
          <w:u w:val="single"/>
          <w:lang w:eastAsia="cs-CZ"/>
        </w:rPr>
      </w:pPr>
    </w:p>
    <w:p w:rsidR="00083BFF" w:rsidRPr="00EF5276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u w:val="single"/>
          <w:lang w:eastAsia="cs-CZ"/>
        </w:rPr>
      </w:pPr>
      <w:r w:rsidRPr="00EF5276">
        <w:rPr>
          <w:rFonts w:ascii="Helv" w:hAnsi="Helv" w:cs="Helv"/>
          <w:i/>
          <w:color w:val="000000"/>
          <w:sz w:val="20"/>
          <w:szCs w:val="20"/>
          <w:u w:val="single"/>
          <w:lang w:eastAsia="cs-CZ"/>
        </w:rPr>
        <w:t>Odkazy a kontaktní údaje</w:t>
      </w:r>
      <w:r>
        <w:rPr>
          <w:rFonts w:ascii="Helv" w:hAnsi="Helv" w:cs="Helv"/>
          <w:i/>
          <w:color w:val="000000"/>
          <w:sz w:val="20"/>
          <w:szCs w:val="20"/>
          <w:u w:val="single"/>
          <w:lang w:eastAsia="cs-CZ"/>
        </w:rPr>
        <w:t xml:space="preserve"> na webové stránky ministerstva a podporu při řešení problémů s případnou zakázkou</w:t>
      </w:r>
      <w:r w:rsidRPr="00EF5276">
        <w:rPr>
          <w:rFonts w:ascii="Helv" w:hAnsi="Helv" w:cs="Helv"/>
          <w:color w:val="000000"/>
          <w:sz w:val="20"/>
          <w:szCs w:val="20"/>
          <w:u w:val="single"/>
          <w:lang w:eastAsia="cs-CZ"/>
        </w:rPr>
        <w:t>:</w:t>
      </w:r>
    </w:p>
    <w:p w:rsidR="00083BFF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Ministry of Government and Consumer Services</w:t>
      </w:r>
    </w:p>
    <w:p w:rsidR="00083BFF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Ontario Share Services</w:t>
      </w:r>
    </w:p>
    <w:p w:rsidR="00083BFF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Supply Chain Ontario</w:t>
      </w:r>
    </w:p>
    <w:p w:rsidR="00083BFF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web-site: ontario.ca/supplychain</w:t>
      </w:r>
    </w:p>
    <w:p w:rsidR="00083BFF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https</w:t>
      </w:r>
      <w:r w:rsidRPr="007235F2">
        <w:rPr>
          <w:rFonts w:cs="Helv"/>
          <w:color w:val="000000"/>
          <w:sz w:val="20"/>
          <w:szCs w:val="20"/>
          <w:lang w:eastAsia="cs-CZ"/>
        </w:rPr>
        <w:t>://</w:t>
      </w:r>
      <w:r>
        <w:rPr>
          <w:rFonts w:ascii="Helv" w:hAnsi="Helv" w:cs="Helv"/>
          <w:color w:val="000000"/>
          <w:sz w:val="20"/>
          <w:szCs w:val="20"/>
          <w:lang w:eastAsia="cs-CZ"/>
        </w:rPr>
        <w:t>ontariotenders.bravosolutions.com</w:t>
      </w:r>
    </w:p>
    <w:p w:rsidR="00083BFF" w:rsidRDefault="00083BFF" w:rsidP="00083BFF">
      <w:pPr>
        <w:spacing w:after="0"/>
        <w:rPr>
          <w:rFonts w:ascii="Helv" w:hAnsi="Helv" w:cs="Helv"/>
          <w:color w:val="000000"/>
          <w:sz w:val="20"/>
          <w:szCs w:val="20"/>
          <w:lang w:eastAsia="cs-CZ"/>
        </w:rPr>
      </w:pPr>
      <w:r>
        <w:rPr>
          <w:rFonts w:ascii="Helv" w:hAnsi="Helv" w:cs="Helv"/>
          <w:color w:val="000000"/>
          <w:sz w:val="20"/>
          <w:szCs w:val="20"/>
          <w:lang w:eastAsia="cs-CZ"/>
        </w:rPr>
        <w:t>Email:doingbusiness</w:t>
      </w:r>
      <w:r w:rsidRPr="00C272CC">
        <w:rPr>
          <w:rFonts w:ascii="Helv" w:hAnsi="Helv" w:cs="Helv"/>
          <w:color w:val="000000"/>
          <w:sz w:val="20"/>
          <w:szCs w:val="20"/>
          <w:lang w:eastAsia="cs-CZ"/>
        </w:rPr>
        <w:t>@ontario.ca</w:t>
      </w:r>
      <w:r>
        <w:rPr>
          <w:rFonts w:ascii="Helv" w:hAnsi="Helv" w:cs="Helv"/>
          <w:color w:val="000000"/>
          <w:sz w:val="20"/>
          <w:szCs w:val="20"/>
          <w:lang w:eastAsia="cs-CZ"/>
        </w:rPr>
        <w:t xml:space="preserve"> </w:t>
      </w:r>
    </w:p>
    <w:p w:rsidR="004924F3" w:rsidRPr="00083BFF" w:rsidRDefault="004924F3" w:rsidP="00083BFF"/>
    <w:sectPr w:rsidR="004924F3" w:rsidRPr="00083BFF" w:rsidSect="001B3B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49" w:rsidRDefault="006D0649" w:rsidP="001B60E0">
      <w:pPr>
        <w:spacing w:after="0" w:line="240" w:lineRule="auto"/>
      </w:pPr>
      <w:r>
        <w:separator/>
      </w:r>
    </w:p>
  </w:endnote>
  <w:endnote w:type="continuationSeparator" w:id="0">
    <w:p w:rsidR="006D0649" w:rsidRDefault="006D0649" w:rsidP="001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E0" w:rsidRDefault="001B3B68">
    <w:pPr>
      <w:pStyle w:val="Zpat"/>
      <w:jc w:val="center"/>
    </w:pPr>
    <w:r>
      <w:fldChar w:fldCharType="begin"/>
    </w:r>
    <w:r w:rsidR="001B60E0">
      <w:instrText>PAGE   \* MERGEFORMAT</w:instrText>
    </w:r>
    <w:r>
      <w:fldChar w:fldCharType="separate"/>
    </w:r>
    <w:r w:rsidR="00816546">
      <w:rPr>
        <w:noProof/>
      </w:rPr>
      <w:t>1</w:t>
    </w:r>
    <w:r>
      <w:fldChar w:fldCharType="end"/>
    </w:r>
  </w:p>
  <w:p w:rsidR="001B60E0" w:rsidRDefault="001B60E0" w:rsidP="001B60E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49" w:rsidRDefault="006D0649" w:rsidP="001B60E0">
      <w:pPr>
        <w:spacing w:after="0" w:line="240" w:lineRule="auto"/>
      </w:pPr>
      <w:r>
        <w:separator/>
      </w:r>
    </w:p>
  </w:footnote>
  <w:footnote w:type="continuationSeparator" w:id="0">
    <w:p w:rsidR="006D0649" w:rsidRDefault="006D0649" w:rsidP="001B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98E"/>
    <w:multiLevelType w:val="hybridMultilevel"/>
    <w:tmpl w:val="A3A22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A4A"/>
    <w:multiLevelType w:val="hybridMultilevel"/>
    <w:tmpl w:val="6C8C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70D"/>
    <w:multiLevelType w:val="hybridMultilevel"/>
    <w:tmpl w:val="0AA006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B4413"/>
    <w:multiLevelType w:val="hybridMultilevel"/>
    <w:tmpl w:val="7DEC47E6"/>
    <w:lvl w:ilvl="0" w:tplc="663C9198">
      <w:start w:val="1"/>
      <w:numFmt w:val="bullet"/>
      <w:lvlText w:val="-"/>
      <w:lvlJc w:val="left"/>
      <w:pPr>
        <w:ind w:left="1080" w:hanging="360"/>
      </w:pPr>
      <w:rPr>
        <w:rFonts w:ascii="Helv" w:eastAsia="Calibri" w:hAnsi="Helv" w:cs="Helv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0136F"/>
    <w:multiLevelType w:val="hybridMultilevel"/>
    <w:tmpl w:val="5F1874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E7FDC"/>
    <w:multiLevelType w:val="hybridMultilevel"/>
    <w:tmpl w:val="E3EC82CC"/>
    <w:lvl w:ilvl="0" w:tplc="663C9198">
      <w:start w:val="1"/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16F0"/>
    <w:multiLevelType w:val="hybridMultilevel"/>
    <w:tmpl w:val="712E8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4CD2"/>
    <w:rsid w:val="00005312"/>
    <w:rsid w:val="00043C74"/>
    <w:rsid w:val="00047E6F"/>
    <w:rsid w:val="00073BFD"/>
    <w:rsid w:val="00083A72"/>
    <w:rsid w:val="00083BFF"/>
    <w:rsid w:val="000E6237"/>
    <w:rsid w:val="000F39B0"/>
    <w:rsid w:val="0011756E"/>
    <w:rsid w:val="00165328"/>
    <w:rsid w:val="001870BA"/>
    <w:rsid w:val="001B3B68"/>
    <w:rsid w:val="001B60E0"/>
    <w:rsid w:val="002012A2"/>
    <w:rsid w:val="00247464"/>
    <w:rsid w:val="002C79D2"/>
    <w:rsid w:val="003745E4"/>
    <w:rsid w:val="003D262D"/>
    <w:rsid w:val="004270D6"/>
    <w:rsid w:val="0048047C"/>
    <w:rsid w:val="004924F3"/>
    <w:rsid w:val="004A4E3C"/>
    <w:rsid w:val="004A7D9B"/>
    <w:rsid w:val="005712B6"/>
    <w:rsid w:val="00575C8E"/>
    <w:rsid w:val="005D42E8"/>
    <w:rsid w:val="00631F92"/>
    <w:rsid w:val="006C0869"/>
    <w:rsid w:val="006D0649"/>
    <w:rsid w:val="006D772F"/>
    <w:rsid w:val="006F574C"/>
    <w:rsid w:val="00720CC8"/>
    <w:rsid w:val="007235F2"/>
    <w:rsid w:val="00744681"/>
    <w:rsid w:val="00763019"/>
    <w:rsid w:val="00772D5A"/>
    <w:rsid w:val="007A0804"/>
    <w:rsid w:val="007D75EB"/>
    <w:rsid w:val="007E4BCC"/>
    <w:rsid w:val="008142C0"/>
    <w:rsid w:val="00816546"/>
    <w:rsid w:val="0084448A"/>
    <w:rsid w:val="00863D22"/>
    <w:rsid w:val="008B795C"/>
    <w:rsid w:val="008C253F"/>
    <w:rsid w:val="00900DB9"/>
    <w:rsid w:val="00901C1A"/>
    <w:rsid w:val="00930262"/>
    <w:rsid w:val="00985BD3"/>
    <w:rsid w:val="0098769A"/>
    <w:rsid w:val="009B3C5E"/>
    <w:rsid w:val="009B4CA8"/>
    <w:rsid w:val="009C2ADB"/>
    <w:rsid w:val="00A22B30"/>
    <w:rsid w:val="00A402E8"/>
    <w:rsid w:val="00A403C0"/>
    <w:rsid w:val="00A63413"/>
    <w:rsid w:val="00A7275E"/>
    <w:rsid w:val="00A77B2E"/>
    <w:rsid w:val="00A8061B"/>
    <w:rsid w:val="00A868FC"/>
    <w:rsid w:val="00A93246"/>
    <w:rsid w:val="00AA6446"/>
    <w:rsid w:val="00AB6167"/>
    <w:rsid w:val="00AE361C"/>
    <w:rsid w:val="00B16C5F"/>
    <w:rsid w:val="00B7042B"/>
    <w:rsid w:val="00B90783"/>
    <w:rsid w:val="00BA0620"/>
    <w:rsid w:val="00BA4395"/>
    <w:rsid w:val="00C11182"/>
    <w:rsid w:val="00C13F00"/>
    <w:rsid w:val="00C15475"/>
    <w:rsid w:val="00C17081"/>
    <w:rsid w:val="00C17FC1"/>
    <w:rsid w:val="00C76E73"/>
    <w:rsid w:val="00C923D9"/>
    <w:rsid w:val="00CB3FE5"/>
    <w:rsid w:val="00CD0EFE"/>
    <w:rsid w:val="00CE6270"/>
    <w:rsid w:val="00D10D56"/>
    <w:rsid w:val="00D35181"/>
    <w:rsid w:val="00D52A47"/>
    <w:rsid w:val="00D5625D"/>
    <w:rsid w:val="00D571A9"/>
    <w:rsid w:val="00D90C42"/>
    <w:rsid w:val="00DF6377"/>
    <w:rsid w:val="00E20649"/>
    <w:rsid w:val="00E51DFE"/>
    <w:rsid w:val="00E56C5C"/>
    <w:rsid w:val="00E757A6"/>
    <w:rsid w:val="00E91EE2"/>
    <w:rsid w:val="00ED1FBD"/>
    <w:rsid w:val="00EF5276"/>
    <w:rsid w:val="00F14CD2"/>
    <w:rsid w:val="00F1537C"/>
    <w:rsid w:val="00F423D5"/>
    <w:rsid w:val="00FC0613"/>
    <w:rsid w:val="00FC4ED4"/>
    <w:rsid w:val="00FD0297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907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C253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B2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B6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60E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B60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60E0"/>
    <w:rPr>
      <w:sz w:val="22"/>
      <w:szCs w:val="22"/>
      <w:lang w:eastAsia="en-US"/>
    </w:rPr>
  </w:style>
  <w:style w:type="paragraph" w:customStyle="1" w:styleId="Default">
    <w:name w:val="Default"/>
    <w:rsid w:val="00863D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tenders.bravosolution.com/esop/nac-host/public/web/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tariotenders.bravosolution.com/esop/nac-host/public/web/logi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DCB9-82D9-42FB-9431-D767187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7638</CharactersWithSpaces>
  <SharedDoc>false</SharedDoc>
  <HLinks>
    <vt:vector size="12" baseType="variant"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https://ontariotenders.bravosolution.com/esop/nac-host/public/web/login.html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https://ontariotenders.bravosolution.com/esop/nac-host/public/web/login.html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ocst</dc:creator>
  <cp:lastModifiedBy>stark</cp:lastModifiedBy>
  <cp:revision>2</cp:revision>
  <cp:lastPrinted>2017-11-24T13:01:00Z</cp:lastPrinted>
  <dcterms:created xsi:type="dcterms:W3CDTF">2017-11-27T15:01:00Z</dcterms:created>
  <dcterms:modified xsi:type="dcterms:W3CDTF">2017-11-27T15:01:00Z</dcterms:modified>
</cp:coreProperties>
</file>