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F9" w:rsidRPr="005F0446" w:rsidRDefault="005F4D37" w:rsidP="002113DA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SMLOUVA O NÁJMU MOVITÉ VĚCI</w:t>
      </w:r>
    </w:p>
    <w:p w:rsidR="003B67AE" w:rsidRDefault="003B67AE" w:rsidP="002113DA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</w:t>
      </w:r>
      <w:r w:rsidR="003875F9" w:rsidRPr="005F0446">
        <w:rPr>
          <w:sz w:val="20"/>
          <w:szCs w:val="20"/>
        </w:rPr>
        <w:t xml:space="preserve">podle </w:t>
      </w:r>
      <w:r w:rsidR="002D4127">
        <w:rPr>
          <w:sz w:val="20"/>
          <w:szCs w:val="20"/>
        </w:rPr>
        <w:t>§ 2</w:t>
      </w:r>
      <w:r w:rsidR="005F4D37">
        <w:rPr>
          <w:sz w:val="20"/>
          <w:szCs w:val="20"/>
        </w:rPr>
        <w:t>201</w:t>
      </w:r>
      <w:r w:rsidR="002D4127">
        <w:rPr>
          <w:sz w:val="20"/>
          <w:szCs w:val="20"/>
        </w:rPr>
        <w:t xml:space="preserve"> a násl. zákona č. 89/2012 Sb.</w:t>
      </w:r>
      <w:r w:rsidR="00C05443">
        <w:rPr>
          <w:sz w:val="20"/>
          <w:szCs w:val="20"/>
        </w:rPr>
        <w:t>,</w:t>
      </w:r>
      <w:r w:rsidR="002D4127">
        <w:rPr>
          <w:sz w:val="20"/>
          <w:szCs w:val="20"/>
        </w:rPr>
        <w:t xml:space="preserve"> občanský zákoník, v</w:t>
      </w:r>
      <w:r w:rsidR="002113DA">
        <w:rPr>
          <w:sz w:val="20"/>
          <w:szCs w:val="20"/>
        </w:rPr>
        <w:t>e znění pozdějších předpisů</w:t>
      </w:r>
    </w:p>
    <w:p w:rsidR="003875F9" w:rsidRPr="005F0446" w:rsidRDefault="0010577F" w:rsidP="002113DA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0"/>
          <w:szCs w:val="20"/>
        </w:rPr>
      </w:pPr>
      <w:r w:rsidRPr="005F0446">
        <w:rPr>
          <w:sz w:val="20"/>
          <w:szCs w:val="20"/>
        </w:rPr>
        <w:t xml:space="preserve"> (dále jen „</w:t>
      </w:r>
      <w:r w:rsidR="002D4127" w:rsidRPr="002D4127">
        <w:rPr>
          <w:b/>
          <w:sz w:val="20"/>
          <w:szCs w:val="20"/>
        </w:rPr>
        <w:t>občanský</w:t>
      </w:r>
      <w:r w:rsidR="002D4127">
        <w:rPr>
          <w:sz w:val="20"/>
          <w:szCs w:val="20"/>
        </w:rPr>
        <w:t xml:space="preserve"> </w:t>
      </w:r>
      <w:r w:rsidRPr="003B67AE">
        <w:rPr>
          <w:b/>
          <w:sz w:val="20"/>
          <w:szCs w:val="20"/>
        </w:rPr>
        <w:t>zákoník</w:t>
      </w:r>
      <w:r w:rsidRPr="005F0446">
        <w:rPr>
          <w:sz w:val="20"/>
          <w:szCs w:val="20"/>
        </w:rPr>
        <w:t>“)</w:t>
      </w:r>
    </w:p>
    <w:p w:rsidR="0010577F" w:rsidRPr="0010577F" w:rsidRDefault="0010577F" w:rsidP="002113DA">
      <w:pPr>
        <w:spacing w:after="120"/>
        <w:jc w:val="both"/>
      </w:pPr>
    </w:p>
    <w:p w:rsidR="002113DA" w:rsidRPr="003A20CB" w:rsidRDefault="002113DA" w:rsidP="002113DA">
      <w:pPr>
        <w:pStyle w:val="Normlnweb"/>
        <w:widowControl w:val="0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:rsidR="002113DA" w:rsidRPr="00651A5D" w:rsidRDefault="002113DA" w:rsidP="002113DA">
      <w:pPr>
        <w:pStyle w:val="Normlnweb"/>
        <w:widowControl w:val="0"/>
        <w:numPr>
          <w:ilvl w:val="1"/>
          <w:numId w:val="22"/>
        </w:numPr>
        <w:shd w:val="clear" w:color="auto" w:fill="FFFFFF"/>
        <w:tabs>
          <w:tab w:val="left" w:pos="142"/>
        </w:tabs>
        <w:spacing w:before="0" w:beforeAutospacing="0" w:after="120" w:afterAutospacing="0"/>
        <w:ind w:left="426" w:hanging="426"/>
        <w:jc w:val="both"/>
      </w:pPr>
      <w:r w:rsidRPr="00A7107B">
        <w:t>(Firma či jméno a příjmení)</w:t>
      </w:r>
      <w:r>
        <w:t>:</w:t>
      </w:r>
      <w:r>
        <w:tab/>
      </w:r>
      <w:r>
        <w:tab/>
        <w:t>(</w:t>
      </w:r>
      <w:r w:rsidRPr="00A7107B">
        <w:rPr>
          <w:highlight w:val="yellow"/>
        </w:rPr>
        <w:t>doplnit</w:t>
      </w:r>
      <w:r>
        <w:t>)</w:t>
      </w:r>
    </w:p>
    <w:p w:rsidR="002113DA" w:rsidRPr="00651A5D" w:rsidRDefault="002113DA" w:rsidP="002113DA">
      <w:pPr>
        <w:pStyle w:val="cotext"/>
        <w:spacing w:before="0" w:after="120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651A5D">
        <w:rPr>
          <w:rFonts w:ascii="Times New Roman" w:hAnsi="Times New Roman" w:cs="Times New Roman"/>
          <w:sz w:val="24"/>
        </w:rPr>
        <w:t>ídl</w:t>
      </w:r>
      <w:r>
        <w:rPr>
          <w:rFonts w:ascii="Times New Roman" w:hAnsi="Times New Roman" w:cs="Times New Roman"/>
          <w:sz w:val="24"/>
        </w:rPr>
        <w:t>o či trvalé bydliště: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2113DA" w:rsidRPr="00651A5D" w:rsidRDefault="002113DA" w:rsidP="002113DA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>
        <w:rPr>
          <w:rFonts w:ascii="Times New Roman" w:hAnsi="Times New Roman" w:cs="Times New Roman"/>
          <w:sz w:val="24"/>
        </w:rPr>
        <w:t xml:space="preserve"> či RČ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2113DA" w:rsidRPr="00651A5D" w:rsidRDefault="002113DA" w:rsidP="002113DA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zapsaná v obchodním rejstříku vedeném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  <w:r w:rsidRPr="00651A5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spisová značka 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2113DA" w:rsidRPr="00651A5D" w:rsidRDefault="002113DA" w:rsidP="002113DA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A7107B">
        <w:rPr>
          <w:rFonts w:ascii="Times New Roman" w:hAnsi="Times New Roman" w:cs="Times New Roman"/>
          <w:sz w:val="24"/>
          <w:highlight w:val="yellow"/>
        </w:rPr>
        <w:t>zastoupen/a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doplnit</w:t>
      </w:r>
      <w:r>
        <w:rPr>
          <w:rStyle w:val="platne"/>
          <w:rFonts w:ascii="Times New Roman" w:hAnsi="Times New Roman" w:cs="Times New Roman"/>
          <w:sz w:val="24"/>
        </w:rPr>
        <w:t>)</w:t>
      </w:r>
      <w:r w:rsidRPr="00651A5D">
        <w:rPr>
          <w:rStyle w:val="platne"/>
          <w:rFonts w:ascii="Times New Roman" w:hAnsi="Times New Roman" w:cs="Times New Roman"/>
          <w:sz w:val="24"/>
        </w:rPr>
        <w:t xml:space="preserve">, </w:t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funkce doplnit</w:t>
      </w:r>
      <w:r>
        <w:rPr>
          <w:rStyle w:val="platne"/>
          <w:rFonts w:ascii="Times New Roman" w:hAnsi="Times New Roman" w:cs="Times New Roman"/>
          <w:sz w:val="24"/>
        </w:rPr>
        <w:t>)</w:t>
      </w:r>
    </w:p>
    <w:p w:rsidR="005F4D37" w:rsidRDefault="005F4D37" w:rsidP="002113DA">
      <w:pPr>
        <w:spacing w:after="120"/>
        <w:ind w:firstLine="425"/>
        <w:jc w:val="both"/>
      </w:pPr>
      <w:r>
        <w:t>bankovní spojení:</w:t>
      </w:r>
      <w:r>
        <w:tab/>
      </w:r>
      <w:r>
        <w:tab/>
      </w:r>
      <w:r>
        <w:tab/>
        <w:t>(</w:t>
      </w:r>
      <w:r w:rsidRPr="005F4D37">
        <w:rPr>
          <w:highlight w:val="yellow"/>
        </w:rPr>
        <w:t>doplnit)</w:t>
      </w:r>
      <w:r w:rsidR="002113DA">
        <w:t xml:space="preserve"> </w:t>
      </w:r>
    </w:p>
    <w:p w:rsidR="002113DA" w:rsidRPr="00AF469B" w:rsidRDefault="002113DA" w:rsidP="002113DA">
      <w:pPr>
        <w:spacing w:after="120"/>
        <w:ind w:firstLine="425"/>
        <w:jc w:val="both"/>
      </w:pPr>
      <w:r>
        <w:t>(</w:t>
      </w:r>
      <w:r w:rsidRPr="00AF469B">
        <w:t>dále jen „</w:t>
      </w:r>
      <w:r w:rsidR="005F4D37">
        <w:rPr>
          <w:b/>
        </w:rPr>
        <w:t>pronajímatel</w:t>
      </w:r>
      <w:r w:rsidRPr="00AF469B">
        <w:t>“</w:t>
      </w:r>
      <w:r>
        <w:t xml:space="preserve">) </w:t>
      </w:r>
    </w:p>
    <w:p w:rsidR="002113DA" w:rsidRPr="00990AA3" w:rsidRDefault="002113DA" w:rsidP="002113DA">
      <w:pPr>
        <w:pStyle w:val="Odstavecseseznamem"/>
        <w:spacing w:after="120"/>
        <w:jc w:val="both"/>
      </w:pPr>
    </w:p>
    <w:p w:rsidR="002113DA" w:rsidRDefault="002113DA" w:rsidP="002113DA">
      <w:pPr>
        <w:spacing w:after="120"/>
        <w:ind w:firstLine="426"/>
        <w:jc w:val="both"/>
      </w:pPr>
      <w:r>
        <w:t>a</w:t>
      </w:r>
    </w:p>
    <w:p w:rsidR="002113DA" w:rsidRDefault="002113DA" w:rsidP="002113DA">
      <w:pPr>
        <w:pStyle w:val="Odstavecseseznamem"/>
        <w:spacing w:after="120"/>
        <w:jc w:val="both"/>
      </w:pPr>
    </w:p>
    <w:p w:rsidR="002113DA" w:rsidRPr="00651A5D" w:rsidRDefault="002113DA" w:rsidP="002113DA">
      <w:pPr>
        <w:pStyle w:val="Normlnweb"/>
        <w:widowControl w:val="0"/>
        <w:numPr>
          <w:ilvl w:val="1"/>
          <w:numId w:val="22"/>
        </w:numPr>
        <w:shd w:val="clear" w:color="auto" w:fill="FFFFFF"/>
        <w:tabs>
          <w:tab w:val="left" w:pos="142"/>
        </w:tabs>
        <w:spacing w:before="0" w:beforeAutospacing="0" w:after="120" w:afterAutospacing="0"/>
        <w:ind w:left="426" w:hanging="426"/>
        <w:jc w:val="both"/>
      </w:pPr>
      <w:r w:rsidRPr="00A7107B">
        <w:t>(Firma či jméno a příjmení)</w:t>
      </w:r>
      <w:r>
        <w:t>:</w:t>
      </w:r>
      <w:r>
        <w:tab/>
      </w:r>
      <w:r>
        <w:tab/>
        <w:t>(</w:t>
      </w:r>
      <w:r w:rsidRPr="00A7107B">
        <w:rPr>
          <w:highlight w:val="yellow"/>
        </w:rPr>
        <w:t>doplnit</w:t>
      </w:r>
      <w:r>
        <w:t>)</w:t>
      </w:r>
    </w:p>
    <w:p w:rsidR="002113DA" w:rsidRPr="00651A5D" w:rsidRDefault="002113DA" w:rsidP="002113DA">
      <w:pPr>
        <w:pStyle w:val="cotext"/>
        <w:spacing w:before="0" w:after="120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651A5D">
        <w:rPr>
          <w:rFonts w:ascii="Times New Roman" w:hAnsi="Times New Roman" w:cs="Times New Roman"/>
          <w:sz w:val="24"/>
        </w:rPr>
        <w:t>ídl</w:t>
      </w:r>
      <w:r>
        <w:rPr>
          <w:rFonts w:ascii="Times New Roman" w:hAnsi="Times New Roman" w:cs="Times New Roman"/>
          <w:sz w:val="24"/>
        </w:rPr>
        <w:t>o či trvalé bydliště: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2113DA" w:rsidRPr="00651A5D" w:rsidRDefault="002113DA" w:rsidP="002113DA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>
        <w:rPr>
          <w:rFonts w:ascii="Times New Roman" w:hAnsi="Times New Roman" w:cs="Times New Roman"/>
          <w:sz w:val="24"/>
        </w:rPr>
        <w:t xml:space="preserve"> či RČ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2113DA" w:rsidRPr="00651A5D" w:rsidRDefault="002113DA" w:rsidP="002113DA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zapsaná v obchodním rejstříku vedeném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  <w:r w:rsidRPr="00651A5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spisová značka 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2113DA" w:rsidRPr="00651A5D" w:rsidRDefault="002113DA" w:rsidP="002113DA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A7107B">
        <w:rPr>
          <w:rFonts w:ascii="Times New Roman" w:hAnsi="Times New Roman" w:cs="Times New Roman"/>
          <w:sz w:val="24"/>
          <w:highlight w:val="yellow"/>
        </w:rPr>
        <w:t>zastoupen/a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doplnit</w:t>
      </w:r>
      <w:r>
        <w:rPr>
          <w:rStyle w:val="platne"/>
          <w:rFonts w:ascii="Times New Roman" w:hAnsi="Times New Roman" w:cs="Times New Roman"/>
          <w:sz w:val="24"/>
        </w:rPr>
        <w:t>)</w:t>
      </w:r>
      <w:r w:rsidRPr="00651A5D">
        <w:rPr>
          <w:rStyle w:val="platne"/>
          <w:rFonts w:ascii="Times New Roman" w:hAnsi="Times New Roman" w:cs="Times New Roman"/>
          <w:sz w:val="24"/>
        </w:rPr>
        <w:t xml:space="preserve">, </w:t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funkce doplnit</w:t>
      </w:r>
      <w:r>
        <w:rPr>
          <w:rStyle w:val="platne"/>
          <w:rFonts w:ascii="Times New Roman" w:hAnsi="Times New Roman" w:cs="Times New Roman"/>
          <w:sz w:val="24"/>
        </w:rPr>
        <w:t>)</w:t>
      </w:r>
    </w:p>
    <w:p w:rsidR="002113DA" w:rsidRDefault="002113DA" w:rsidP="002113DA">
      <w:pPr>
        <w:spacing w:after="120"/>
        <w:ind w:firstLine="425"/>
        <w:jc w:val="both"/>
      </w:pPr>
      <w:r>
        <w:t xml:space="preserve"> (dále jen „</w:t>
      </w:r>
      <w:r w:rsidR="005F4D37">
        <w:rPr>
          <w:b/>
          <w:iCs/>
        </w:rPr>
        <w:t>nájemce</w:t>
      </w:r>
      <w:r>
        <w:t xml:space="preserve">“) </w:t>
      </w:r>
    </w:p>
    <w:p w:rsidR="002113DA" w:rsidRDefault="002113DA" w:rsidP="002113DA">
      <w:pPr>
        <w:spacing w:after="120"/>
        <w:ind w:firstLine="708"/>
        <w:jc w:val="both"/>
      </w:pPr>
    </w:p>
    <w:p w:rsidR="0010577F" w:rsidRPr="0010577F" w:rsidRDefault="0010577F" w:rsidP="002113DA">
      <w:pPr>
        <w:pStyle w:val="Normlnweb"/>
        <w:shd w:val="clear" w:color="auto" w:fill="FFFFFF"/>
        <w:spacing w:before="0" w:beforeAutospacing="0" w:after="120" w:afterAutospacing="0"/>
        <w:jc w:val="both"/>
      </w:pPr>
    </w:p>
    <w:p w:rsidR="0010577F" w:rsidRDefault="005F4D37" w:rsidP="002113DA">
      <w:pPr>
        <w:pStyle w:val="Normlnweb"/>
        <w:shd w:val="clear" w:color="auto" w:fill="FFFFFF"/>
        <w:spacing w:before="0" w:beforeAutospacing="0" w:after="120" w:afterAutospacing="0"/>
        <w:jc w:val="both"/>
      </w:pPr>
      <w:r>
        <w:t xml:space="preserve">pronajímatel a nájemce </w:t>
      </w:r>
      <w:r w:rsidR="0010577F" w:rsidRPr="0010577F">
        <w:t>dále také společně jako „</w:t>
      </w:r>
      <w:r w:rsidR="0010577F" w:rsidRPr="002113DA">
        <w:rPr>
          <w:b/>
        </w:rPr>
        <w:t>smluvní strany</w:t>
      </w:r>
      <w:r w:rsidR="0010577F" w:rsidRPr="0010577F">
        <w:t>“</w:t>
      </w:r>
      <w:r w:rsidR="000F4CD1">
        <w:t xml:space="preserve"> a každý samostatně jako „</w:t>
      </w:r>
      <w:r w:rsidR="000F4CD1" w:rsidRPr="002113DA">
        <w:rPr>
          <w:b/>
        </w:rPr>
        <w:t>smluvní strana</w:t>
      </w:r>
      <w:r w:rsidR="000F4CD1">
        <w:t xml:space="preserve">“ uzavírají níže uvedeného dne, měsíce a roku tuto </w:t>
      </w:r>
    </w:p>
    <w:p w:rsidR="000F4CD1" w:rsidRDefault="000F4CD1" w:rsidP="002113DA">
      <w:pPr>
        <w:pStyle w:val="Normlnweb"/>
        <w:shd w:val="clear" w:color="auto" w:fill="FFFFFF"/>
        <w:spacing w:before="0" w:beforeAutospacing="0" w:after="120" w:afterAutospacing="0"/>
        <w:jc w:val="both"/>
      </w:pPr>
    </w:p>
    <w:p w:rsidR="000F4CD1" w:rsidRPr="000F4CD1" w:rsidRDefault="002113DA" w:rsidP="002113DA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smlouvu o </w:t>
      </w:r>
      <w:r w:rsidR="005F4D37">
        <w:rPr>
          <w:sz w:val="28"/>
          <w:szCs w:val="28"/>
        </w:rPr>
        <w:t>nájmu movité věci</w:t>
      </w:r>
    </w:p>
    <w:p w:rsidR="003875F9" w:rsidRPr="0010577F" w:rsidRDefault="003875F9" w:rsidP="002113DA">
      <w:pPr>
        <w:spacing w:after="120"/>
        <w:jc w:val="both"/>
      </w:pPr>
      <w:bookmarkStart w:id="0" w:name="OLE_LINK1"/>
      <w:bookmarkStart w:id="1" w:name="OLE_LINK2"/>
      <w:bookmarkStart w:id="2" w:name="OLE_LINK3"/>
    </w:p>
    <w:p w:rsidR="003875F9" w:rsidRPr="00C0710E" w:rsidRDefault="003875F9" w:rsidP="002113DA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P</w:t>
      </w:r>
      <w:r w:rsidR="002D4127">
        <w:rPr>
          <w:b/>
          <w:sz w:val="28"/>
          <w:szCs w:val="28"/>
          <w:u w:val="single"/>
        </w:rPr>
        <w:t>ředmět smlouvy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after="120"/>
        <w:ind w:left="709" w:hanging="709"/>
        <w:jc w:val="both"/>
      </w:pPr>
      <w:r>
        <w:t>Předmětem této smlouvy je přenechání předmětu nájmu pronajímatelem nájemci, aby jej nájemce užíval a platil za to pronajímateli nájemné.</w:t>
      </w:r>
    </w:p>
    <w:p w:rsidR="002D4127" w:rsidRPr="002113DA" w:rsidRDefault="005F4D37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lastRenderedPageBreak/>
        <w:t>Pronajímatel</w:t>
      </w:r>
      <w:r w:rsidR="002D4127" w:rsidRPr="00FC7A14">
        <w:t xml:space="preserve"> tímto prohlašuje, že má ve svém výlu</w:t>
      </w:r>
      <w:r w:rsidR="002D4127" w:rsidRPr="00FC7A14">
        <w:rPr>
          <w:rFonts w:hint="eastAsia"/>
        </w:rPr>
        <w:t>č</w:t>
      </w:r>
      <w:r w:rsidR="002D4127" w:rsidRPr="00FC7A14">
        <w:t>ném vlastnictví</w:t>
      </w:r>
      <w:r w:rsidR="002113DA">
        <w:t xml:space="preserve"> nezuživatelnou věc</w:t>
      </w:r>
      <w:r w:rsidR="002D4127" w:rsidRPr="00FC7A14">
        <w:t xml:space="preserve"> </w:t>
      </w:r>
      <w:r w:rsidR="002D4127" w:rsidRPr="00CC0B73">
        <w:rPr>
          <w:highlight w:val="yellow"/>
        </w:rPr>
        <w:t>(doplnit</w:t>
      </w:r>
      <w:r w:rsidR="002D4127">
        <w:t>)</w:t>
      </w:r>
      <w:r w:rsidR="002113DA">
        <w:t xml:space="preserve"> (</w:t>
      </w:r>
      <w:r w:rsidR="002113DA" w:rsidRPr="00CC0B73">
        <w:rPr>
          <w:color w:val="FF0000"/>
        </w:rPr>
        <w:t>zde doplnit přesný popis nezuživatelné věci</w:t>
      </w:r>
      <w:r w:rsidR="002113DA" w:rsidRPr="00CC0B73">
        <w:t xml:space="preserve">) </w:t>
      </w:r>
      <w:r w:rsidR="002113DA" w:rsidRPr="002113DA">
        <w:t>(dále jen „</w:t>
      </w:r>
      <w:r w:rsidRPr="00CC0B73">
        <w:rPr>
          <w:b/>
        </w:rPr>
        <w:t>předmět nájmu</w:t>
      </w:r>
      <w:r w:rsidR="002113DA" w:rsidRPr="00CC0B73">
        <w:t>“</w:t>
      </w:r>
      <w:r w:rsidR="002113DA" w:rsidRPr="002113DA">
        <w:t>)</w:t>
      </w:r>
      <w:r w:rsidR="002D4127" w:rsidRPr="002113DA">
        <w:t>.</w:t>
      </w:r>
    </w:p>
    <w:p w:rsidR="005F4D37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Pronajímatel i nájemce souhlasně prohlašují, že je předmět nájmu na základě shora uvedené specifikace dostatečně určitě a srozumitelně popsán, aby nemohl být zaměněn s jinou věcí.</w:t>
      </w:r>
    </w:p>
    <w:p w:rsidR="005F4D37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Pronajímatel se zavazuje přenechat nájemci užívání předmětu nájmu podle této smlouvy za účelem obvyklým (např. dále: </w:t>
      </w:r>
      <w:r w:rsidRPr="00CC0B73">
        <w:rPr>
          <w:color w:val="FF0000"/>
        </w:rPr>
        <w:t>zde doplnit obvyklý účel nájmu</w:t>
      </w:r>
      <w:r>
        <w:t>).</w:t>
      </w:r>
    </w:p>
    <w:p w:rsidR="005F4D37" w:rsidRPr="00CC0B73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highlight w:val="yellow"/>
        </w:rPr>
      </w:pPr>
      <w:r>
        <w:t xml:space="preserve">Nájemce tímto potvrzuje, že mu předmět nájmu byl pronajímatelem předán při podpisu této smlouvy spolu se všemi potřebnými doklady a příslušenstvím. / </w:t>
      </w:r>
      <w:r w:rsidRPr="00CC0B73">
        <w:rPr>
          <w:highlight w:val="yellow"/>
        </w:rPr>
        <w:t>Pronajímatel se zavazuje předat předmět nájmu nájemci do 10 dnů od podpisu této smlouvy, a o této skutečnosti bude smluvními stranami sepsán předávací protokol.</w:t>
      </w:r>
    </w:p>
    <w:p w:rsidR="002D412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Pronajímatel touto smlouvou a za podmínek v ní uvedených přenechává předmět nájmu nájemci do nájmu, nájemce touto smlouvou a za podmínek v ní uvedených předmět nájmu od pronajímatele přijímá do nájmu.</w:t>
      </w:r>
    </w:p>
    <w:p w:rsidR="002113DA" w:rsidRPr="005F4D37" w:rsidRDefault="002113DA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5F4D37">
        <w:t>S</w:t>
      </w:r>
      <w:r w:rsidR="005F4D37" w:rsidRPr="005F4D37">
        <w:t>mluvní strany potvrzují, že si předmět nájmu</w:t>
      </w:r>
      <w:r w:rsidRPr="005F4D37">
        <w:t xml:space="preserve"> před jejím předáním prohlédly a že je věc přenechána </w:t>
      </w:r>
      <w:r w:rsidR="005F4D37" w:rsidRPr="005F4D37">
        <w:t>nájemci</w:t>
      </w:r>
      <w:r w:rsidRPr="005F4D37">
        <w:t xml:space="preserve"> ve stav</w:t>
      </w:r>
      <w:r w:rsidR="005F4D37" w:rsidRPr="005F4D37">
        <w:t>u způsobilém k užívání, tj. na předmětu nájmu</w:t>
      </w:r>
      <w:r w:rsidRPr="005F4D37">
        <w:t xml:space="preserve"> nejsou žádné nedostatky s výjimkou těchto vad: </w:t>
      </w:r>
      <w:r w:rsidRPr="005F4D37">
        <w:rPr>
          <w:color w:val="FF0000"/>
        </w:rPr>
        <w:t>(pokud věc má vady)</w:t>
      </w:r>
    </w:p>
    <w:p w:rsidR="002D4127" w:rsidRPr="0010577F" w:rsidRDefault="002D4127" w:rsidP="002113DA">
      <w:pPr>
        <w:pStyle w:val="Normlnweb"/>
        <w:shd w:val="clear" w:color="auto" w:fill="FFFFFF"/>
        <w:spacing w:before="0" w:beforeAutospacing="0" w:after="120" w:afterAutospacing="0"/>
        <w:ind w:left="709" w:hanging="709"/>
        <w:jc w:val="both"/>
      </w:pPr>
    </w:p>
    <w:bookmarkEnd w:id="0"/>
    <w:bookmarkEnd w:id="1"/>
    <w:bookmarkEnd w:id="2"/>
    <w:p w:rsidR="005F4D37" w:rsidRDefault="005F4D37" w:rsidP="002113DA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Trvání nájmu, nájemné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Doba trvání nájmu se sjednává na dobu určitou …../ </w:t>
      </w:r>
      <w:r w:rsidRPr="005F4D37">
        <w:t>neurčitou</w:t>
      </w:r>
      <w:r>
        <w:t xml:space="preserve">. </w:t>
      </w:r>
    </w:p>
    <w:p w:rsidR="005F4D37" w:rsidRP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V případě, nesdělí některá ze stran druhé smluvní straně do jednoho měsíce přede dnem, jímž má doba trvání nájmu skončit, že na jejím prodloužení nemá zájem, prodlužuje se doba trvání nájmu vždy o …. měsíce. </w:t>
      </w:r>
      <w:r w:rsidRPr="005F4D37">
        <w:t>(uplatní se zpravidla při nájmu na dobu určitou, jedná se o tzv. automatickou prolongaci nájmu).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Nájemné za předmět nájmu je stanoveno dohodu smluvní stran a činí ……. Kč měsíčně.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Nájemné je splatné vždy k 15 dni příslušeného kalendářního měsíce předem na účet pronajímatele uvedený v záhlaví této smlouvy.</w:t>
      </w:r>
    </w:p>
    <w:p w:rsidR="005F4D37" w:rsidRPr="00CC0B73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highlight w:val="yellow"/>
        </w:rPr>
      </w:pPr>
      <w:r w:rsidRPr="005F4D37">
        <w:t>Náklady na provoz předmětu nájmu (což představuje zejména obvyklé náklady spojené s</w:t>
      </w:r>
      <w:r>
        <w:t> </w:t>
      </w:r>
      <w:r w:rsidRPr="005F4D37">
        <w:t>věcí</w:t>
      </w:r>
      <w:r>
        <w:t xml:space="preserve"> - </w:t>
      </w:r>
      <w:r w:rsidRPr="00CC0B73">
        <w:rPr>
          <w:highlight w:val="yellow"/>
        </w:rPr>
        <w:t>doporučujeme na tomto místě specifikovat provozní náklady předmětu nájmu</w:t>
      </w:r>
      <w:r w:rsidRPr="005F4D37">
        <w:t>) nese nájemce. Náklady na údržbu předmětu nájmu nad rámec provozních</w:t>
      </w:r>
      <w:r>
        <w:t xml:space="preserve"> nákladů</w:t>
      </w:r>
      <w:r w:rsidRPr="005F4D37">
        <w:t>, specifikovaných v předchozí větě, což představuje udržování ve stavu způsobilém řádného užívání za účelem uvedeným v</w:t>
      </w:r>
      <w:r>
        <w:t> této smlouvě</w:t>
      </w:r>
      <w:r w:rsidRPr="005F4D37">
        <w:t xml:space="preserve">, jakož i plnění </w:t>
      </w:r>
      <w:r>
        <w:t xml:space="preserve">případných </w:t>
      </w:r>
      <w:r w:rsidRPr="005F4D37">
        <w:t xml:space="preserve">daňových a poplatkových povinností z titulu provozovatele či uživatele předmětu nájmu, nese </w:t>
      </w:r>
      <w:r w:rsidRPr="00CC0B73">
        <w:rPr>
          <w:highlight w:val="yellow"/>
        </w:rPr>
        <w:t>nájemce / pronajímatel</w:t>
      </w:r>
      <w:r w:rsidRPr="005F4D37">
        <w:t xml:space="preserve">. </w:t>
      </w:r>
      <w:r w:rsidRPr="00CC0B73">
        <w:rPr>
          <w:highlight w:val="yellow"/>
        </w:rPr>
        <w:t>Nájemce je povinen průběžně hradit náklady, specifikované v předchozí větě, jakmile se vyskytne jejich potřeba a pronajímatel je povinen tyto náklady nájemci nahradit vždy do 15 dnů poté, co jej k tomu nájemce vyzve a jejich úhradu pronajímateli prokáže (např</w:t>
      </w:r>
      <w:r w:rsidR="00AE32F1">
        <w:rPr>
          <w:highlight w:val="yellow"/>
        </w:rPr>
        <w:t>.</w:t>
      </w:r>
      <w:r w:rsidRPr="00CC0B73">
        <w:rPr>
          <w:highlight w:val="yellow"/>
        </w:rPr>
        <w:t xml:space="preserve">: výdajovým pokladním dokladem, prokazujícím platbu provedenou nájemcem). Povinnost </w:t>
      </w:r>
      <w:r w:rsidRPr="00CC0B73">
        <w:rPr>
          <w:highlight w:val="yellow"/>
        </w:rPr>
        <w:lastRenderedPageBreak/>
        <w:t>pronajímatele nahradit účelně vynaložené náklady na předmět nájmu nájemcem trvá i po ukončení smluvního vztahu mezi smluvními stranami.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 Strany této smlouvy si sjednávají pro případ prodlení nájemce s úhradou nájemného dle této smlouvy, povinnost nájemce zaplatit pronajímateli smluvní pokutu ve výši ……… % z dlužné částky za každý den prodlení. </w:t>
      </w:r>
    </w:p>
    <w:p w:rsidR="005F4D37" w:rsidRPr="00CC0B73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highlight w:val="yellow"/>
        </w:rPr>
      </w:pPr>
      <w:r w:rsidRPr="00CC0B73">
        <w:rPr>
          <w:highlight w:val="yellow"/>
        </w:rPr>
        <w:t>Pokud se pronajímatel/nájemce dostane do prodlení s hrazením účelně vynaložených nákladů na provoz předmětu nájmu, je pronajímatel/nájemce povinen uhradit nájemci/pronajímateli smluvní pokutu ve výši ….% z dlužné částky za každý den prodlení.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Smluvní pokuta je splatná do 10 dnů poté, co bude písemná výzva jedné strany v tomto směru druhé straně doručena. 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Povinností zaplatit smluvní pokutu dle této smlouvy není dotčeno právo na náhradu škody, a to ani co do výše, v níž případně náhrada škody smluvní pokutu přesáhne.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Povinnost zaplatit smluvní pokutu dle této smlouva trvá i po ukončení této smlouvy. </w:t>
      </w:r>
    </w:p>
    <w:p w:rsidR="005F4D37" w:rsidRPr="005F4D37" w:rsidRDefault="005F4D37" w:rsidP="005F4D37">
      <w:pPr>
        <w:pStyle w:val="Normlnweb"/>
        <w:shd w:val="clear" w:color="auto" w:fill="FFFFFF"/>
        <w:spacing w:before="0" w:beforeAutospacing="0" w:after="120" w:afterAutospacing="0"/>
        <w:ind w:left="357"/>
        <w:jc w:val="both"/>
        <w:rPr>
          <w:b/>
          <w:sz w:val="28"/>
          <w:szCs w:val="28"/>
          <w:u w:val="single"/>
        </w:rPr>
      </w:pPr>
    </w:p>
    <w:p w:rsidR="003875F9" w:rsidRDefault="0010577F" w:rsidP="002113DA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D</w:t>
      </w:r>
      <w:r w:rsidR="002D4127">
        <w:rPr>
          <w:b/>
          <w:sz w:val="28"/>
          <w:szCs w:val="28"/>
          <w:u w:val="single"/>
        </w:rPr>
        <w:t>alší ujednání v souvislosti s</w:t>
      </w:r>
      <w:r w:rsidR="005F4D37">
        <w:rPr>
          <w:b/>
          <w:sz w:val="28"/>
          <w:szCs w:val="28"/>
          <w:u w:val="single"/>
        </w:rPr>
        <w:t> nájmem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Nájemce není oprávněn přenechat předmět nájmu do podnájmu třetím osobám.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Nebezpečí škody na předmětu nájmu nese pronajímatel, s výjimkou případů, kdy škodu způsobil nájemce. 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Nájemce je povinen věc chránit před poškozením, ztrátou či zničením. Nájemce je povinen pojistit předmět nájmu proti škodě na něm, a to nejpozději do …………., přičemž pojistná částka musí činit nejméně …………….,-Kč a pojistné plnění vinkulovat ve prospěch pronajímatele. Náklady na sjednání a hrazení tohoto pojištění se zavazuje nést nájemce.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Nájemce není oprávněn provádět na předmětu nájmu změny bez předchozího písemného souhlasu pronajímatele. 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Nájemce je povinen umožnit pronajímateli kontrolu předmětu nájmu, oznámí-li mu pronajímatel v přiměřené době den kontroly předmětu nájmu. Pronajímatel je oprávněn vykonávat kontrolu v rozsahu nezbytně nutném pro splnění jejího účelu a v době, která nenarušuje užívání předmětu nájmu nájemcem. 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Stane-li se věc nezpůsobilá k obvyklému užívání, je nájemce povinen o této skutečnosti informovat pronajímatele bez zbytečného odkladu. </w:t>
      </w:r>
    </w:p>
    <w:p w:rsidR="005F4D37" w:rsidRDefault="005F4D37" w:rsidP="005F4D37">
      <w:pPr>
        <w:pStyle w:val="Normlnweb"/>
        <w:shd w:val="clear" w:color="auto" w:fill="FFFFFF"/>
        <w:spacing w:before="0" w:beforeAutospacing="0" w:after="120" w:afterAutospacing="0"/>
        <w:ind w:left="357"/>
        <w:jc w:val="both"/>
        <w:rPr>
          <w:b/>
          <w:sz w:val="28"/>
          <w:szCs w:val="28"/>
          <w:u w:val="single"/>
        </w:rPr>
      </w:pPr>
    </w:p>
    <w:p w:rsidR="005F4D37" w:rsidRDefault="005F4D37" w:rsidP="002113DA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Prohlášení pronajímatele</w:t>
      </w:r>
    </w:p>
    <w:p w:rsidR="005F4D37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Pronajímatel odpovídá za vady předmětu nájmu zjevné, skryté i právní, které předmět nájmu vykazuje v době jeho odevzdání nájemci, byť se projeví později. Pokud se předmět nájmu po uzavření této smlouvy ukáže nezpůsobilý k obvyklému užívání dle </w:t>
      </w:r>
      <w:r>
        <w:lastRenderedPageBreak/>
        <w:t>této smlouvy, má nájemce právo požadovat po pronajímateli odstranění vad tomu bránících, nebo předmět nájmu pronajímateli vrátit a žádat po něm odevzdání jiné věci, kvalitativně a funkčně shodné či zaměnitelné s předmětem nájmu, k užívání za podmínek sjednaných touto smlouvou.</w:t>
      </w:r>
    </w:p>
    <w:p w:rsidR="005F4D37" w:rsidRPr="00CC0B73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highlight w:val="yellow"/>
        </w:rPr>
      </w:pPr>
      <w:r>
        <w:t xml:space="preserve">Pronajímatel prohlašuje, že je výlučným vlastníkem předmětu nájmu, že na něm neváznou žádná práva třetích osob a že není dána žádná překážka, která by mu bránila s předmětem nájmu podle této smlouvy nakládat. Prohlašuje dále, že předmět nájmu nemá žádné vady, které by bránily jeho řádnému užívání a že je předmět nájmu k obvyklému užívání způsobilý. </w:t>
      </w:r>
      <w:r w:rsidRPr="00CC0B73">
        <w:rPr>
          <w:highlight w:val="yellow"/>
        </w:rPr>
        <w:t xml:space="preserve">/ Pronajímatel výslovně upozorňuje nájemce na následující právní či faktické vady předmětu nájmu: ……………………………………………Tyto vady však nebrání řádnému užívání předmětu nájmu. </w:t>
      </w:r>
    </w:p>
    <w:p w:rsidR="00CC0B73" w:rsidRDefault="00CC0B73" w:rsidP="00CC0B73">
      <w:pPr>
        <w:pStyle w:val="Normlnweb"/>
        <w:shd w:val="clear" w:color="auto" w:fill="FFFFFF"/>
        <w:spacing w:before="0" w:beforeAutospacing="0" w:after="120" w:afterAutospacing="0"/>
        <w:ind w:left="709"/>
        <w:jc w:val="both"/>
      </w:pPr>
    </w:p>
    <w:p w:rsidR="005F4D37" w:rsidRDefault="005F4D37" w:rsidP="002113DA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Ukončení smlouvy</w:t>
      </w:r>
    </w:p>
    <w:p w:rsidR="005F4D37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after="120"/>
        <w:ind w:left="709" w:hanging="709"/>
        <w:jc w:val="both"/>
      </w:pPr>
      <w:r>
        <w:t>Tato smlouva může ukončena následujícím způsobem:</w:t>
      </w:r>
    </w:p>
    <w:p w:rsidR="005F4D37" w:rsidRDefault="005F4D37" w:rsidP="005F4D37">
      <w:pPr>
        <w:pStyle w:val="Normlnweb"/>
        <w:shd w:val="clear" w:color="auto" w:fill="FFFFFF"/>
        <w:spacing w:before="0" w:beforeAutospacing="0" w:after="0" w:afterAutospacing="0"/>
        <w:ind w:left="709"/>
        <w:jc w:val="both"/>
      </w:pPr>
      <w:r>
        <w:t>(a) uplynutím doby;</w:t>
      </w:r>
    </w:p>
    <w:p w:rsidR="005F4D37" w:rsidRDefault="005F4D37" w:rsidP="005F4D37">
      <w:pPr>
        <w:pStyle w:val="Normlnweb"/>
        <w:shd w:val="clear" w:color="auto" w:fill="FFFFFF"/>
        <w:spacing w:before="0" w:beforeAutospacing="0" w:after="0" w:afterAutospacing="0"/>
        <w:ind w:left="709"/>
        <w:jc w:val="both"/>
      </w:pPr>
      <w:r>
        <w:t>(b) výpovědí;</w:t>
      </w:r>
    </w:p>
    <w:p w:rsidR="005F4D37" w:rsidRDefault="005F4D37" w:rsidP="005F4D37">
      <w:pPr>
        <w:pStyle w:val="Normlnweb"/>
        <w:shd w:val="clear" w:color="auto" w:fill="FFFFFF"/>
        <w:spacing w:before="0" w:beforeAutospacing="0" w:after="0" w:afterAutospacing="0"/>
        <w:ind w:left="709"/>
        <w:jc w:val="both"/>
      </w:pPr>
      <w:r>
        <w:t>(c) odstoupením od smlouvy;</w:t>
      </w:r>
    </w:p>
    <w:p w:rsidR="005F4D37" w:rsidRDefault="005F4D37" w:rsidP="005F4D37">
      <w:pPr>
        <w:pStyle w:val="Normlnweb"/>
        <w:shd w:val="clear" w:color="auto" w:fill="FFFFFF"/>
        <w:spacing w:before="0" w:beforeAutospacing="0" w:after="0" w:afterAutospacing="0"/>
        <w:ind w:left="709"/>
        <w:jc w:val="both"/>
      </w:pPr>
      <w:r>
        <w:t>(d) zánikem předmětu nájmu.</w:t>
      </w:r>
    </w:p>
    <w:p w:rsidR="00CC0B73" w:rsidRDefault="00CC0B73" w:rsidP="005F4D37">
      <w:pPr>
        <w:pStyle w:val="Normlnweb"/>
        <w:shd w:val="clear" w:color="auto" w:fill="FFFFFF"/>
        <w:spacing w:before="0" w:beforeAutospacing="0" w:after="0" w:afterAutospacing="0"/>
        <w:ind w:left="709"/>
        <w:jc w:val="both"/>
      </w:pPr>
    </w:p>
    <w:p w:rsidR="005F4D37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Smlouva končí uplynutím doby v případě, že smluvní strany sdělila druhé smluvní straně, že nemá zájem na prodloužení doby trvání smlouvy.</w:t>
      </w:r>
    </w:p>
    <w:p w:rsidR="005F4D37" w:rsidRPr="00CC0B73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color w:val="FF0000"/>
          <w:highlight w:val="yellow"/>
        </w:rPr>
      </w:pPr>
      <w:r w:rsidRPr="00CC0B73">
        <w:rPr>
          <w:highlight w:val="yellow"/>
        </w:rPr>
        <w:t xml:space="preserve">Obě smluvní strany mohou ukončit tuto smlouvu písemnou výpovědí doručenou druhé smluvní straně i bez udání důvodu. Výpovědní doba činí  ……….měsíce a začíná běžet prvního dne následujícího kalendářního měsíce po doručení písemné výpovědi. </w:t>
      </w:r>
      <w:r w:rsidRPr="00CC0B73">
        <w:rPr>
          <w:color w:val="FF0000"/>
          <w:highlight w:val="yellow"/>
        </w:rPr>
        <w:t>Je možné tuto část vynechat, pokud je smlouva uzavřena na dobu určitou.</w:t>
      </w:r>
    </w:p>
    <w:p w:rsidR="005F4D37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Od této smlouvy může kterákoli strana odstoupit, pokud dojde k podstatnému porušení smluvních povinností stranou druhou. Účinky odstoupení od této smlouvy nastanou dnem, kdy bude písemné odstoupení strany odstupující druhé straně doručeno.</w:t>
      </w:r>
    </w:p>
    <w:p w:rsidR="005F4D37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Za podstatné porušení smluvních povinností se považuje na straně nájemce porušení i jen některé jednotlivé povinnosti, uvedené v čl. 4 této smlouvy, bude-li nájemce užívat předmět nájmu za jiným účelem, než který je uveden v této smlouvě, anebo ocitne-li se nájemce opakovaně v prodlení s úhradou nájemného, k jehož placení je povinen dle této smlouvy po dobu delší než 15 dnů.</w:t>
      </w:r>
    </w:p>
    <w:p w:rsidR="005F4D37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Za podstatné porušení smluvních povinností se na straně pronajímatele považuje, ukáže-li se nepravdivé některé prohlášení pronajímatele, uvedené v čl. 5 smlouvy.</w:t>
      </w:r>
    </w:p>
    <w:p w:rsidR="005F4D37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Smluvní strany se dohodly, že účinky odstoupení nastávají dnem doručení, a že smluvní strany nejsou povinny vracet si vzájemná poskytnutá plnění před doručením odstoupení (účinky odstoupení nastávají dle dohody stran ex tunc). </w:t>
      </w:r>
    </w:p>
    <w:p w:rsidR="005F4D37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lastRenderedPageBreak/>
        <w:t>Po doručení odstoupení od smlouvy je nájemce povinen vrátit předmět nájmu pronajímateli i se všemi doklady a příslušenstvím bez zbytečného odkladu.</w:t>
      </w:r>
    </w:p>
    <w:p w:rsidR="00CC0B73" w:rsidRDefault="00CC0B73" w:rsidP="00CC0B73">
      <w:pPr>
        <w:pStyle w:val="Normlnweb"/>
        <w:shd w:val="clear" w:color="auto" w:fill="FFFFFF"/>
        <w:spacing w:before="0" w:beforeAutospacing="0" w:after="120" w:afterAutospacing="0"/>
        <w:ind w:left="709"/>
        <w:jc w:val="both"/>
      </w:pPr>
    </w:p>
    <w:p w:rsidR="005F4D37" w:rsidRPr="00455BC1" w:rsidRDefault="005F4D37" w:rsidP="005F4D37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 w:rsidRPr="005F4D37">
        <w:rPr>
          <w:b/>
          <w:sz w:val="28"/>
          <w:szCs w:val="28"/>
        </w:rPr>
        <w:tab/>
      </w:r>
      <w:r w:rsidRPr="00455BC1">
        <w:rPr>
          <w:b/>
          <w:sz w:val="28"/>
          <w:szCs w:val="28"/>
          <w:u w:val="single"/>
        </w:rPr>
        <w:t>Z</w:t>
      </w:r>
      <w:r>
        <w:rPr>
          <w:b/>
          <w:sz w:val="28"/>
          <w:szCs w:val="28"/>
          <w:u w:val="single"/>
        </w:rPr>
        <w:t>ávěrečná ustanovení</w:t>
      </w:r>
    </w:p>
    <w:p w:rsidR="002D4127" w:rsidRPr="005F4D37" w:rsidRDefault="002D412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5F4D37">
        <w:t xml:space="preserve">Změny této smlouvy lze činit pouze po dohodě obou stran písemnou formou. </w:t>
      </w:r>
    </w:p>
    <w:p w:rsidR="002D4127" w:rsidRPr="005F4D37" w:rsidRDefault="007C4552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5F4D37">
        <w:t>Tato s</w:t>
      </w:r>
      <w:r w:rsidR="002D4127" w:rsidRPr="005F4D37">
        <w:t xml:space="preserve">mlouva, jakož i práva a povinnosti vzniklé na základě této </w:t>
      </w:r>
      <w:r w:rsidRPr="005F4D37">
        <w:t>s</w:t>
      </w:r>
      <w:r w:rsidR="002D4127" w:rsidRPr="005F4D37">
        <w:t>mlouvy nebo v souvislosti s ní, se řídí zákonem č. 89/2012 Sb. ve znění pozdějších předpisů, občanský zákoník a ostatními právními předpisy České republiky.</w:t>
      </w:r>
    </w:p>
    <w:p w:rsidR="005F4D37" w:rsidRPr="005F4D37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5F4D37">
        <w:t>Práva a povinnosti strany vyplývající z této smlouvy může smluvní strana postoupit na třetí osobu pouze s předchozím písemným souhlasem druhé smluvní strany.</w:t>
      </w:r>
    </w:p>
    <w:p w:rsidR="002113DA" w:rsidRPr="005F4D37" w:rsidRDefault="002113DA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5F4D37">
        <w:t>Jsou-li, nebo stanou-li se, některá ustanovení této smlouvy zcela nebo zčásti neplatnými, nebo pokud by v 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 V případě, že se některé ustanovení smlouvy ukáže být zdánlivým (nicotný právní akt), posoudí se vliv této vady na ostatní ustanovení této smlouvy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:rsidR="002D4127" w:rsidRPr="005F4D37" w:rsidRDefault="002D412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5F4D37">
        <w:t xml:space="preserve">Tato </w:t>
      </w:r>
      <w:r w:rsidR="007C4552" w:rsidRPr="005F4D37">
        <w:t>s</w:t>
      </w:r>
      <w:r w:rsidRPr="005F4D37">
        <w:t>mlouva je uzavřena ve dvou (2) vyhotoveních, z nichž každá strana obdrží po jednom (1) vyhotovení.</w:t>
      </w:r>
    </w:p>
    <w:p w:rsidR="002D4127" w:rsidRPr="005F4D37" w:rsidRDefault="009D2280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9E1616"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 w:rsidR="002D4127" w:rsidRPr="005F4D37">
        <w:t xml:space="preserve">. </w:t>
      </w:r>
    </w:p>
    <w:p w:rsidR="003875F9" w:rsidRPr="0010577F" w:rsidRDefault="003875F9" w:rsidP="0010577F">
      <w:pPr>
        <w:spacing w:before="60" w:after="60" w:line="276" w:lineRule="auto"/>
        <w:jc w:val="both"/>
      </w:pPr>
    </w:p>
    <w:p w:rsidR="003875F9" w:rsidRPr="0010577F" w:rsidRDefault="003875F9" w:rsidP="0010577F">
      <w:pPr>
        <w:spacing w:before="60" w:after="60" w:line="276" w:lineRule="auto"/>
        <w:jc w:val="both"/>
      </w:pPr>
    </w:p>
    <w:p w:rsidR="00EE6A44" w:rsidRPr="0010577F" w:rsidRDefault="00EE6A44" w:rsidP="00EE6A44">
      <w:pPr>
        <w:spacing w:before="60" w:after="60" w:line="276" w:lineRule="auto"/>
        <w:jc w:val="both"/>
      </w:pPr>
      <w:r w:rsidRPr="0010577F">
        <w:t>V</w:t>
      </w:r>
      <w:r>
        <w:t xml:space="preserve"> </w:t>
      </w:r>
      <w:r w:rsidRPr="001C06A6">
        <w:rPr>
          <w:highlight w:val="yellow"/>
        </w:rPr>
        <w:t>(doplnit)</w:t>
      </w:r>
      <w:r w:rsidRPr="0010577F">
        <w:t xml:space="preserve"> dne </w:t>
      </w:r>
      <w:r w:rsidRPr="001C06A6">
        <w:rPr>
          <w:highlight w:val="yellow"/>
        </w:rPr>
        <w:t>(doplnit)</w:t>
      </w:r>
      <w:r>
        <w:tab/>
      </w:r>
      <w:r>
        <w:tab/>
      </w:r>
      <w:r>
        <w:tab/>
      </w:r>
      <w:r>
        <w:tab/>
      </w:r>
      <w:r w:rsidRPr="0010577F">
        <w:t xml:space="preserve">V </w:t>
      </w:r>
      <w:r w:rsidRPr="001C06A6">
        <w:rPr>
          <w:highlight w:val="yellow"/>
        </w:rPr>
        <w:t>(doplnit)</w:t>
      </w:r>
      <w:r w:rsidRPr="0010577F">
        <w:t xml:space="preserve"> dne </w:t>
      </w:r>
      <w:r w:rsidRPr="001C06A6">
        <w:rPr>
          <w:highlight w:val="yellow"/>
        </w:rPr>
        <w:t>(doplnit)</w:t>
      </w:r>
    </w:p>
    <w:p w:rsidR="006B27FF" w:rsidRPr="0010577F" w:rsidRDefault="006B27FF" w:rsidP="0010577F">
      <w:pPr>
        <w:spacing w:before="60" w:after="60" w:line="276" w:lineRule="auto"/>
        <w:jc w:val="both"/>
      </w:pPr>
    </w:p>
    <w:p w:rsidR="002D4127" w:rsidRDefault="002D4127" w:rsidP="0010577F">
      <w:pPr>
        <w:spacing w:before="60" w:after="60" w:line="276" w:lineRule="auto"/>
        <w:jc w:val="both"/>
      </w:pPr>
    </w:p>
    <w:p w:rsidR="0082040C" w:rsidRPr="0010577F" w:rsidRDefault="0082040C" w:rsidP="0010577F">
      <w:pPr>
        <w:spacing w:before="60" w:after="60" w:line="276" w:lineRule="auto"/>
        <w:jc w:val="both"/>
      </w:pPr>
      <w:r w:rsidRPr="0010577F">
        <w:t>________________________</w:t>
      </w:r>
      <w:r w:rsidRPr="0010577F">
        <w:tab/>
      </w:r>
      <w:r w:rsidRPr="0010577F">
        <w:tab/>
      </w:r>
      <w:r w:rsidRPr="0010577F">
        <w:tab/>
        <w:t>________________________</w:t>
      </w:r>
    </w:p>
    <w:p w:rsidR="0082040C" w:rsidRPr="0010577F" w:rsidRDefault="005F4D37" w:rsidP="0010577F">
      <w:pPr>
        <w:spacing w:before="60" w:after="60" w:line="276" w:lineRule="auto"/>
        <w:jc w:val="both"/>
      </w:pPr>
      <w:r>
        <w:t>pronajímatel</w:t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>
        <w:t>nájemce</w:t>
      </w:r>
    </w:p>
    <w:p w:rsidR="0082040C" w:rsidRDefault="0082040C" w:rsidP="0010577F">
      <w:pPr>
        <w:spacing w:before="60" w:after="60" w:line="276" w:lineRule="auto"/>
        <w:jc w:val="both"/>
      </w:pPr>
    </w:p>
    <w:p w:rsidR="00C05443" w:rsidRPr="00AE32F1" w:rsidRDefault="00C05443" w:rsidP="00C05443">
      <w:pPr>
        <w:widowControl w:val="0"/>
        <w:rPr>
          <w:b/>
          <w:color w:val="365F91" w:themeColor="accent1" w:themeShade="BF"/>
          <w:highlight w:val="yellow"/>
          <w:u w:val="single"/>
        </w:rPr>
      </w:pPr>
      <w:bookmarkStart w:id="3" w:name="_GoBack"/>
      <w:bookmarkEnd w:id="3"/>
      <w:r w:rsidRPr="00AE32F1">
        <w:rPr>
          <w:b/>
          <w:color w:val="365F91" w:themeColor="accent1" w:themeShade="BF"/>
          <w:highlight w:val="yellow"/>
          <w:u w:val="single"/>
        </w:rPr>
        <w:t>!!! UPOZORNĚNÍ !!!</w:t>
      </w:r>
    </w:p>
    <w:p w:rsidR="00C05443" w:rsidRPr="00CC01DE" w:rsidRDefault="00C05443" w:rsidP="00C05443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Style w:val="Zdraznn"/>
          <w:b/>
          <w:color w:val="365F91" w:themeColor="accent1" w:themeShade="BF"/>
        </w:rPr>
      </w:pPr>
      <w:r w:rsidRPr="00AE32F1">
        <w:rPr>
          <w:rStyle w:val="Zdraznn"/>
          <w:b/>
          <w:color w:val="365F91" w:themeColor="accent1" w:themeShade="BF"/>
          <w:highlight w:val="yellow"/>
        </w:rPr>
        <w:t xml:space="preserve">Tento vzorový dokument má obecnou informativní povahu a při jeho použití je třeba brát v úvahu, že každý případ je individuální a vzorová smlouva nepokrývá všechny situace, které </w:t>
      </w:r>
      <w:r w:rsidRPr="00AE32F1">
        <w:rPr>
          <w:rStyle w:val="Zdraznn"/>
          <w:b/>
          <w:color w:val="365F91" w:themeColor="accent1" w:themeShade="BF"/>
          <w:highlight w:val="yellow"/>
        </w:rPr>
        <w:lastRenderedPageBreak/>
        <w:t xml:space="preserve">mohou v praxi nastat. Autor tohoto vzorového dokumentu nenese žádnou odpovědnost za případnou újmu vzniklou použitím tohoto vzoru bez konzultace s advokátem či jiným právním odborníkem, který </w:t>
      </w:r>
      <w:r w:rsidRPr="00AE32F1">
        <w:rPr>
          <w:b/>
          <w:i/>
          <w:iCs/>
          <w:color w:val="365F91" w:themeColor="accent1" w:themeShade="BF"/>
          <w:highlight w:val="yellow"/>
        </w:rPr>
        <w:t>navrhne nejvhodnější změny textu s ohledem na potřeby konkrétního zadavatele, důvod závazku a postavení smluvních stran</w:t>
      </w:r>
      <w:r w:rsidRPr="00AE32F1">
        <w:rPr>
          <w:rStyle w:val="Zdraznn"/>
          <w:b/>
          <w:color w:val="365F91" w:themeColor="accent1" w:themeShade="BF"/>
          <w:highlight w:val="yellow"/>
        </w:rPr>
        <w:t>. Pro ověření vhodnosti tohoto vzoru a jeho případnou úpravu kontaktujte AK Doleček Kahounová Sedláčková.</w:t>
      </w:r>
    </w:p>
    <w:sectPr w:rsidR="00C05443" w:rsidRPr="00CC01DE" w:rsidSect="00AF3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418" w:bottom="2155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43" w:rsidRDefault="00EB3443">
      <w:r>
        <w:separator/>
      </w:r>
    </w:p>
  </w:endnote>
  <w:endnote w:type="continuationSeparator" w:id="0">
    <w:p w:rsidR="00EB3443" w:rsidRDefault="00EB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89" w:rsidRDefault="00232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89" w:rsidRDefault="002328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89" w:rsidRDefault="00232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43" w:rsidRDefault="00EB3443">
      <w:r>
        <w:separator/>
      </w:r>
    </w:p>
  </w:footnote>
  <w:footnote w:type="continuationSeparator" w:id="0">
    <w:p w:rsidR="00EB3443" w:rsidRDefault="00EB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89" w:rsidRDefault="00232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89" w:rsidRDefault="002328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89" w:rsidRDefault="00232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9CC"/>
    <w:multiLevelType w:val="multilevel"/>
    <w:tmpl w:val="0A363D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B3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C841DD"/>
    <w:multiLevelType w:val="multilevel"/>
    <w:tmpl w:val="63E23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12B97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5D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AC41CA"/>
    <w:multiLevelType w:val="multilevel"/>
    <w:tmpl w:val="245C5370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FF0D2C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95757"/>
    <w:multiLevelType w:val="multilevel"/>
    <w:tmpl w:val="5D04CEE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AE72873"/>
    <w:multiLevelType w:val="multilevel"/>
    <w:tmpl w:val="1D34AC82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80B50"/>
    <w:multiLevelType w:val="multilevel"/>
    <w:tmpl w:val="F6F4874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4A4E65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F4735"/>
    <w:multiLevelType w:val="multilevel"/>
    <w:tmpl w:val="F6F48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D15E8C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63942"/>
    <w:multiLevelType w:val="hybridMultilevel"/>
    <w:tmpl w:val="913656DA"/>
    <w:lvl w:ilvl="0" w:tplc="C5DA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353460"/>
    <w:multiLevelType w:val="multilevel"/>
    <w:tmpl w:val="F6F487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9F74AF"/>
    <w:multiLevelType w:val="multilevel"/>
    <w:tmpl w:val="F6F48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6826D1"/>
    <w:multiLevelType w:val="multilevel"/>
    <w:tmpl w:val="F6F48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2B7DE2"/>
    <w:multiLevelType w:val="multilevel"/>
    <w:tmpl w:val="3B5E09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A44D05"/>
    <w:multiLevelType w:val="hybridMultilevel"/>
    <w:tmpl w:val="1B54B99C"/>
    <w:lvl w:ilvl="0" w:tplc="2E2CC1B4">
      <w:start w:val="1"/>
      <w:numFmt w:val="upperRoman"/>
      <w:lvlText w:val="%1."/>
      <w:lvlJc w:val="right"/>
      <w:pPr>
        <w:ind w:left="9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74" w:hanging="360"/>
      </w:pPr>
    </w:lvl>
    <w:lvl w:ilvl="2" w:tplc="0405001B" w:tentative="1">
      <w:start w:val="1"/>
      <w:numFmt w:val="lowerRoman"/>
      <w:lvlText w:val="%3."/>
      <w:lvlJc w:val="right"/>
      <w:pPr>
        <w:ind w:left="2394" w:hanging="180"/>
      </w:pPr>
    </w:lvl>
    <w:lvl w:ilvl="3" w:tplc="0405000F" w:tentative="1">
      <w:start w:val="1"/>
      <w:numFmt w:val="decimal"/>
      <w:lvlText w:val="%4."/>
      <w:lvlJc w:val="left"/>
      <w:pPr>
        <w:ind w:left="3114" w:hanging="360"/>
      </w:pPr>
    </w:lvl>
    <w:lvl w:ilvl="4" w:tplc="04050019" w:tentative="1">
      <w:start w:val="1"/>
      <w:numFmt w:val="lowerLetter"/>
      <w:lvlText w:val="%5."/>
      <w:lvlJc w:val="left"/>
      <w:pPr>
        <w:ind w:left="3834" w:hanging="360"/>
      </w:pPr>
    </w:lvl>
    <w:lvl w:ilvl="5" w:tplc="0405001B" w:tentative="1">
      <w:start w:val="1"/>
      <w:numFmt w:val="lowerRoman"/>
      <w:lvlText w:val="%6."/>
      <w:lvlJc w:val="right"/>
      <w:pPr>
        <w:ind w:left="4554" w:hanging="180"/>
      </w:pPr>
    </w:lvl>
    <w:lvl w:ilvl="6" w:tplc="0405000F" w:tentative="1">
      <w:start w:val="1"/>
      <w:numFmt w:val="decimal"/>
      <w:lvlText w:val="%7."/>
      <w:lvlJc w:val="left"/>
      <w:pPr>
        <w:ind w:left="5274" w:hanging="360"/>
      </w:pPr>
    </w:lvl>
    <w:lvl w:ilvl="7" w:tplc="04050019" w:tentative="1">
      <w:start w:val="1"/>
      <w:numFmt w:val="lowerLetter"/>
      <w:lvlText w:val="%8."/>
      <w:lvlJc w:val="left"/>
      <w:pPr>
        <w:ind w:left="5994" w:hanging="360"/>
      </w:pPr>
    </w:lvl>
    <w:lvl w:ilvl="8" w:tplc="040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0" w15:restartNumberingAfterBreak="0">
    <w:nsid w:val="68531474"/>
    <w:multiLevelType w:val="hybridMultilevel"/>
    <w:tmpl w:val="C6261F90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A8ACB78">
      <w:start w:val="2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ED4153D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54486B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964971"/>
    <w:multiLevelType w:val="multilevel"/>
    <w:tmpl w:val="587E5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CD30710"/>
    <w:multiLevelType w:val="multilevel"/>
    <w:tmpl w:val="F6F4874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651034"/>
    <w:multiLevelType w:val="multilevel"/>
    <w:tmpl w:val="F6F4874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24"/>
  </w:num>
  <w:num w:numId="9">
    <w:abstractNumId w:val="10"/>
  </w:num>
  <w:num w:numId="10">
    <w:abstractNumId w:val="25"/>
  </w:num>
  <w:num w:numId="11">
    <w:abstractNumId w:val="18"/>
  </w:num>
  <w:num w:numId="12">
    <w:abstractNumId w:val="0"/>
  </w:num>
  <w:num w:numId="13">
    <w:abstractNumId w:val="19"/>
  </w:num>
  <w:num w:numId="14">
    <w:abstractNumId w:val="5"/>
  </w:num>
  <w:num w:numId="15">
    <w:abstractNumId w:val="13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11"/>
  </w:num>
  <w:num w:numId="22">
    <w:abstractNumId w:val="1"/>
  </w:num>
  <w:num w:numId="23">
    <w:abstractNumId w:val="9"/>
  </w:num>
  <w:num w:numId="24">
    <w:abstractNumId w:val="6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F9"/>
    <w:rsid w:val="000E2028"/>
    <w:rsid w:val="000F4CD1"/>
    <w:rsid w:val="0010577F"/>
    <w:rsid w:val="00132D5F"/>
    <w:rsid w:val="002113DA"/>
    <w:rsid w:val="00232889"/>
    <w:rsid w:val="0024073A"/>
    <w:rsid w:val="0028225B"/>
    <w:rsid w:val="002D4127"/>
    <w:rsid w:val="00384E43"/>
    <w:rsid w:val="003875F9"/>
    <w:rsid w:val="003B67AE"/>
    <w:rsid w:val="00455BC1"/>
    <w:rsid w:val="005F0446"/>
    <w:rsid w:val="005F4D37"/>
    <w:rsid w:val="006B27FF"/>
    <w:rsid w:val="006D17C2"/>
    <w:rsid w:val="007662E1"/>
    <w:rsid w:val="007A2DBF"/>
    <w:rsid w:val="007B3158"/>
    <w:rsid w:val="007C4552"/>
    <w:rsid w:val="00804B1E"/>
    <w:rsid w:val="0082040C"/>
    <w:rsid w:val="009C2EE8"/>
    <w:rsid w:val="009C42BB"/>
    <w:rsid w:val="009D2280"/>
    <w:rsid w:val="009E77FF"/>
    <w:rsid w:val="00A23636"/>
    <w:rsid w:val="00AB4DEC"/>
    <w:rsid w:val="00AE32F1"/>
    <w:rsid w:val="00C05443"/>
    <w:rsid w:val="00C0710E"/>
    <w:rsid w:val="00CC0B73"/>
    <w:rsid w:val="00CC3FA2"/>
    <w:rsid w:val="00E01E11"/>
    <w:rsid w:val="00EB3443"/>
    <w:rsid w:val="00ED5B27"/>
    <w:rsid w:val="00EE6A44"/>
    <w:rsid w:val="00E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8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87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5F9"/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387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387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7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875F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75F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38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5F9"/>
    <w:pPr>
      <w:ind w:left="720"/>
    </w:pPr>
  </w:style>
  <w:style w:type="character" w:styleId="Odkaznakoment">
    <w:name w:val="annotation reference"/>
    <w:rsid w:val="003875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5F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F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0577F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5F04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28225B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customStyle="1" w:styleId="platne">
    <w:name w:val="platne"/>
    <w:basedOn w:val="Standardnpsmoodstavce"/>
    <w:rsid w:val="0028225B"/>
  </w:style>
  <w:style w:type="character" w:styleId="Zdraznn">
    <w:name w:val="Emphasis"/>
    <w:basedOn w:val="Standardnpsmoodstavce"/>
    <w:uiPriority w:val="20"/>
    <w:qFormat/>
    <w:rsid w:val="00C05443"/>
    <w:rPr>
      <w:i/>
      <w:iCs/>
    </w:rPr>
  </w:style>
  <w:style w:type="paragraph" w:customStyle="1" w:styleId="CharChar">
    <w:name w:val="Char Char"/>
    <w:basedOn w:val="Normln"/>
    <w:rsid w:val="002D412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BF79-24AF-45D6-9730-3CD167EB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9400</Characters>
  <Application>Microsoft Office Word</Application>
  <DocSecurity>0</DocSecurity>
  <Lines>78</Lines>
  <Paragraphs>21</Paragraphs>
  <ScaleCrop>false</ScaleCrop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2016-07-31T23:19:00Z</dcterms:created>
  <dcterms:modified xsi:type="dcterms:W3CDTF">2016-07-31T23:19:00Z</dcterms:modified>
</cp:coreProperties>
</file>